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settings.xml" ContentType="application/vnd.openxmlformats-officedocument.wordprocessingml.setting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26482D" w14:textId="77777777" w:rsidR="007C1FB6" w:rsidRDefault="007C1FB6" w:rsidP="009543F1">
      <w:pPr>
        <w:pStyle w:val="Textoindependiente"/>
        <w:jc w:val="both"/>
        <w:rPr>
          <w:rFonts w:ascii="Times New Roman"/>
          <w:sz w:val="20"/>
        </w:rPr>
      </w:pPr>
    </w:p>
    <w:p w14:paraId="03ABB686" w14:textId="77777777" w:rsidR="007C1FB6" w:rsidRDefault="007C1FB6" w:rsidP="009543F1">
      <w:pPr>
        <w:pStyle w:val="Textoindependiente"/>
        <w:jc w:val="both"/>
        <w:rPr>
          <w:rFonts w:ascii="Times New Roman"/>
          <w:sz w:val="20"/>
        </w:rPr>
      </w:pPr>
    </w:p>
    <w:p w14:paraId="6D85F3CA" w14:textId="77777777" w:rsidR="007C1FB6" w:rsidRDefault="007C1FB6" w:rsidP="009543F1">
      <w:pPr>
        <w:pStyle w:val="Textoindependiente"/>
        <w:jc w:val="both"/>
        <w:rPr>
          <w:rFonts w:ascii="Times New Roman"/>
          <w:sz w:val="20"/>
        </w:rPr>
      </w:pPr>
    </w:p>
    <w:p w14:paraId="46E686AA" w14:textId="77777777" w:rsidR="007C1FB6" w:rsidRDefault="007C1FB6" w:rsidP="009543F1">
      <w:pPr>
        <w:pStyle w:val="Textoindependiente"/>
        <w:jc w:val="both"/>
        <w:rPr>
          <w:rFonts w:ascii="Times New Roman"/>
          <w:sz w:val="20"/>
        </w:rPr>
      </w:pPr>
    </w:p>
    <w:p w14:paraId="14C91262" w14:textId="77777777" w:rsidR="007C1FB6" w:rsidRDefault="007C1FB6" w:rsidP="009543F1">
      <w:pPr>
        <w:pStyle w:val="Textoindependiente"/>
        <w:spacing w:before="4" w:after="1"/>
        <w:jc w:val="both"/>
        <w:rPr>
          <w:rFonts w:ascii="Times New Roman"/>
          <w:sz w:val="21"/>
        </w:rPr>
      </w:pPr>
    </w:p>
    <w:p w14:paraId="00D2FF4A" w14:textId="77777777" w:rsidR="007C1FB6" w:rsidRDefault="008E5ADB" w:rsidP="009543F1">
      <w:pPr>
        <w:pStyle w:val="Textoindependiente"/>
        <w:ind w:left="3295"/>
        <w:jc w:val="both"/>
        <w:rPr>
          <w:rFonts w:ascii="Times New Roman"/>
          <w:sz w:val="20"/>
        </w:rPr>
      </w:pPr>
      <w:r>
        <w:rPr>
          <w:rFonts w:ascii="Times New Roman"/>
          <w:noProof/>
          <w:sz w:val="20"/>
          <w:lang w:val="es-CO" w:eastAsia="es-CO"/>
        </w:rPr>
        <w:drawing>
          <wp:inline distT="0" distB="0" distL="0" distR="0" wp14:anchorId="33DFCCBE" wp14:editId="2BBE5FA7">
            <wp:extent cx="2886075" cy="155257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2886075" cy="1552575"/>
                    </a:xfrm>
                    <a:prstGeom prst="rect">
                      <a:avLst/>
                    </a:prstGeom>
                  </pic:spPr>
                </pic:pic>
              </a:graphicData>
            </a:graphic>
          </wp:inline>
        </w:drawing>
      </w:r>
    </w:p>
    <w:p w14:paraId="39986A83" w14:textId="77777777" w:rsidR="007C1FB6" w:rsidRDefault="007C1FB6" w:rsidP="009543F1">
      <w:pPr>
        <w:pStyle w:val="Textoindependiente"/>
        <w:jc w:val="both"/>
        <w:rPr>
          <w:rFonts w:ascii="Times New Roman"/>
          <w:sz w:val="20"/>
        </w:rPr>
      </w:pPr>
    </w:p>
    <w:p w14:paraId="273AF903" w14:textId="77777777" w:rsidR="007C1FB6" w:rsidRDefault="007C1FB6" w:rsidP="009543F1">
      <w:pPr>
        <w:pStyle w:val="Textoindependiente"/>
        <w:jc w:val="both"/>
        <w:rPr>
          <w:rFonts w:ascii="Times New Roman"/>
          <w:sz w:val="20"/>
        </w:rPr>
      </w:pPr>
    </w:p>
    <w:p w14:paraId="1C6FA9BB" w14:textId="77777777" w:rsidR="007C1FB6" w:rsidRDefault="007C1FB6" w:rsidP="009543F1">
      <w:pPr>
        <w:pStyle w:val="Textoindependiente"/>
        <w:jc w:val="both"/>
        <w:rPr>
          <w:rFonts w:ascii="Times New Roman"/>
          <w:sz w:val="20"/>
        </w:rPr>
      </w:pPr>
    </w:p>
    <w:p w14:paraId="02CF22E9" w14:textId="77777777" w:rsidR="007C1FB6" w:rsidRDefault="007C1FB6" w:rsidP="009543F1">
      <w:pPr>
        <w:pStyle w:val="Textoindependiente"/>
        <w:jc w:val="both"/>
        <w:rPr>
          <w:rFonts w:ascii="Times New Roman"/>
          <w:sz w:val="20"/>
        </w:rPr>
      </w:pPr>
    </w:p>
    <w:p w14:paraId="5F7AEC0E" w14:textId="77777777" w:rsidR="007C1FB6" w:rsidRDefault="007C1FB6" w:rsidP="009543F1">
      <w:pPr>
        <w:pStyle w:val="Textoindependiente"/>
        <w:jc w:val="both"/>
        <w:rPr>
          <w:rFonts w:ascii="Times New Roman"/>
          <w:sz w:val="20"/>
        </w:rPr>
      </w:pPr>
    </w:p>
    <w:p w14:paraId="09BEC3C3" w14:textId="77777777" w:rsidR="000F099B" w:rsidRPr="00924CD0" w:rsidRDefault="000F099B" w:rsidP="000F099B">
      <w:pPr>
        <w:jc w:val="center"/>
        <w:textAlignment w:val="baseline"/>
        <w:rPr>
          <w:rFonts w:ascii="Open Sans" w:hAnsi="Open Sans" w:cs="Open Sans"/>
          <w:color w:val="595959" w:themeColor="text1" w:themeTint="A6"/>
          <w:sz w:val="28"/>
          <w:szCs w:val="20"/>
        </w:rPr>
      </w:pPr>
      <w:r>
        <w:rPr>
          <w:rFonts w:ascii="Open Sans" w:hAnsi="Open Sans" w:cs="Open Sans"/>
          <w:color w:val="595959" w:themeColor="text1" w:themeTint="A6"/>
          <w:sz w:val="28"/>
          <w:szCs w:val="20"/>
        </w:rPr>
        <w:t>“</w:t>
      </w:r>
      <w:r w:rsidRPr="00924CD0">
        <w:rPr>
          <w:rFonts w:ascii="Open Sans" w:hAnsi="Open Sans" w:cs="Open Sans"/>
          <w:color w:val="595959" w:themeColor="text1" w:themeTint="A6"/>
          <w:sz w:val="28"/>
          <w:szCs w:val="20"/>
        </w:rPr>
        <w:t>Realización de Fases de implementación del Modelo de Seguridad</w:t>
      </w:r>
      <w:r>
        <w:rPr>
          <w:rFonts w:ascii="Open Sans" w:hAnsi="Open Sans" w:cs="Open Sans"/>
          <w:color w:val="595959" w:themeColor="text1" w:themeTint="A6"/>
          <w:sz w:val="28"/>
          <w:szCs w:val="20"/>
        </w:rPr>
        <w:t xml:space="preserve"> </w:t>
      </w:r>
      <w:r w:rsidRPr="00924CD0">
        <w:rPr>
          <w:rFonts w:ascii="Open Sans" w:hAnsi="Open Sans" w:cs="Open Sans"/>
          <w:color w:val="595959" w:themeColor="text1" w:themeTint="A6"/>
          <w:sz w:val="28"/>
          <w:szCs w:val="20"/>
        </w:rPr>
        <w:t>y Privacidad de la Información del Instituto Nacional de Salud</w:t>
      </w:r>
      <w:r>
        <w:rPr>
          <w:rFonts w:ascii="Open Sans" w:hAnsi="Open Sans" w:cs="Open Sans"/>
          <w:color w:val="595959" w:themeColor="text1" w:themeTint="A6"/>
          <w:sz w:val="28"/>
          <w:szCs w:val="20"/>
        </w:rPr>
        <w:t xml:space="preserve"> </w:t>
      </w:r>
      <w:r w:rsidRPr="00924CD0">
        <w:rPr>
          <w:rFonts w:ascii="Open Sans" w:hAnsi="Open Sans" w:cs="Open Sans"/>
          <w:color w:val="595959" w:themeColor="text1" w:themeTint="A6"/>
          <w:sz w:val="28"/>
          <w:szCs w:val="20"/>
        </w:rPr>
        <w:t xml:space="preserve">conforme </w:t>
      </w:r>
      <w:r w:rsidRPr="000F099B">
        <w:rPr>
          <w:rFonts w:ascii="Open Sans" w:hAnsi="Open Sans" w:cs="Open Sans"/>
          <w:color w:val="595959" w:themeColor="text1" w:themeTint="A6"/>
          <w:sz w:val="28"/>
          <w:szCs w:val="20"/>
        </w:rPr>
        <w:t>el proceso de implementación del Modelo de Seguridad y Privacidad de la Información – MSPI del Instituto Nacional de Salud conforme a los lineamientos del Ministerio de Tecnologías de la Información y las Comunicaciones - MinTIC y la Política de Gobierno Digital”</w:t>
      </w:r>
      <w:r w:rsidRPr="00924CD0">
        <w:rPr>
          <w:rFonts w:ascii="Open Sans" w:hAnsi="Open Sans" w:cs="Open Sans"/>
          <w:color w:val="595959" w:themeColor="text1" w:themeTint="A6"/>
          <w:sz w:val="28"/>
          <w:szCs w:val="20"/>
        </w:rPr>
        <w:t>.</w:t>
      </w:r>
    </w:p>
    <w:p w14:paraId="7668BED1" w14:textId="77777777" w:rsidR="007C1FB6" w:rsidRDefault="007C1FB6" w:rsidP="009543F1">
      <w:pPr>
        <w:pStyle w:val="Textoindependiente"/>
        <w:jc w:val="both"/>
        <w:rPr>
          <w:rFonts w:ascii="Times New Roman"/>
          <w:sz w:val="20"/>
        </w:rPr>
      </w:pPr>
    </w:p>
    <w:p w14:paraId="2B6D53DC" w14:textId="77777777" w:rsidR="007C1FB6" w:rsidRDefault="007C1FB6" w:rsidP="009543F1">
      <w:pPr>
        <w:pStyle w:val="Textoindependiente"/>
        <w:jc w:val="both"/>
        <w:rPr>
          <w:rFonts w:ascii="Times New Roman"/>
          <w:sz w:val="20"/>
        </w:rPr>
      </w:pPr>
    </w:p>
    <w:p w14:paraId="1C36E32F" w14:textId="77777777" w:rsidR="007C1FB6" w:rsidRDefault="007C1FB6" w:rsidP="009543F1">
      <w:pPr>
        <w:pStyle w:val="Textoindependiente"/>
        <w:jc w:val="both"/>
        <w:rPr>
          <w:rFonts w:ascii="Times New Roman"/>
          <w:sz w:val="20"/>
        </w:rPr>
      </w:pPr>
    </w:p>
    <w:p w14:paraId="00B647C3" w14:textId="77777777" w:rsidR="007C1FB6" w:rsidRDefault="007C1FB6" w:rsidP="009543F1">
      <w:pPr>
        <w:pStyle w:val="Textoindependiente"/>
        <w:jc w:val="both"/>
        <w:rPr>
          <w:rFonts w:ascii="Times New Roman"/>
          <w:sz w:val="20"/>
        </w:rPr>
      </w:pPr>
    </w:p>
    <w:p w14:paraId="6BEBB477" w14:textId="77777777" w:rsidR="007C1FB6" w:rsidRDefault="007C1FB6" w:rsidP="009543F1">
      <w:pPr>
        <w:pStyle w:val="Textoindependiente"/>
        <w:spacing w:before="1"/>
        <w:jc w:val="both"/>
        <w:rPr>
          <w:rFonts w:ascii="Times New Roman"/>
          <w:sz w:val="22"/>
        </w:rPr>
      </w:pPr>
    </w:p>
    <w:p w14:paraId="4C773503" w14:textId="77777777" w:rsidR="007C1FB6" w:rsidRDefault="007C1FB6" w:rsidP="009543F1">
      <w:pPr>
        <w:pStyle w:val="Textoindependiente"/>
        <w:jc w:val="both"/>
        <w:rPr>
          <w:b/>
          <w:sz w:val="26"/>
        </w:rPr>
      </w:pPr>
    </w:p>
    <w:p w14:paraId="14399C2B" w14:textId="77777777" w:rsidR="007C1FB6" w:rsidRDefault="007C1FB6" w:rsidP="009543F1">
      <w:pPr>
        <w:pStyle w:val="Textoindependiente"/>
        <w:jc w:val="both"/>
        <w:rPr>
          <w:b/>
          <w:sz w:val="26"/>
        </w:rPr>
      </w:pPr>
    </w:p>
    <w:p w14:paraId="0128DC91" w14:textId="77777777" w:rsidR="007C1FB6" w:rsidRDefault="007C1FB6" w:rsidP="009543F1">
      <w:pPr>
        <w:pStyle w:val="Textoindependiente"/>
        <w:jc w:val="both"/>
        <w:rPr>
          <w:b/>
          <w:sz w:val="26"/>
        </w:rPr>
      </w:pPr>
    </w:p>
    <w:p w14:paraId="17A249F8" w14:textId="77777777" w:rsidR="007C1FB6" w:rsidRDefault="007C1FB6" w:rsidP="009543F1">
      <w:pPr>
        <w:pStyle w:val="Textoindependiente"/>
        <w:jc w:val="both"/>
        <w:rPr>
          <w:b/>
          <w:sz w:val="26"/>
        </w:rPr>
      </w:pPr>
    </w:p>
    <w:p w14:paraId="47FC77C6" w14:textId="77777777" w:rsidR="007C1FB6" w:rsidRDefault="007C1FB6" w:rsidP="009543F1">
      <w:pPr>
        <w:pStyle w:val="Textoindependiente"/>
        <w:jc w:val="both"/>
        <w:rPr>
          <w:b/>
          <w:sz w:val="26"/>
        </w:rPr>
      </w:pPr>
    </w:p>
    <w:p w14:paraId="3B8BD39D" w14:textId="77777777" w:rsidR="007C1FB6" w:rsidRDefault="007C1FB6" w:rsidP="009543F1">
      <w:pPr>
        <w:pStyle w:val="Textoindependiente"/>
        <w:jc w:val="both"/>
        <w:rPr>
          <w:b/>
          <w:sz w:val="26"/>
        </w:rPr>
      </w:pPr>
    </w:p>
    <w:p w14:paraId="7E4206BF" w14:textId="77777777" w:rsidR="007C1FB6" w:rsidRDefault="007C1FB6" w:rsidP="009543F1">
      <w:pPr>
        <w:pStyle w:val="Textoindependiente"/>
        <w:jc w:val="both"/>
        <w:rPr>
          <w:b/>
          <w:sz w:val="22"/>
        </w:rPr>
      </w:pPr>
    </w:p>
    <w:p w14:paraId="4609CFFD" w14:textId="77777777" w:rsidR="007C1FB6" w:rsidRDefault="008E5ADB" w:rsidP="000F099B">
      <w:pPr>
        <w:ind w:left="1184" w:right="1441"/>
        <w:jc w:val="center"/>
        <w:rPr>
          <w:b/>
          <w:sz w:val="24"/>
        </w:rPr>
      </w:pPr>
      <w:r>
        <w:rPr>
          <w:b/>
          <w:sz w:val="24"/>
        </w:rPr>
        <w:t>Bogotá D.C.,</w:t>
      </w:r>
    </w:p>
    <w:p w14:paraId="017CE778" w14:textId="77777777" w:rsidR="007C1FB6" w:rsidRDefault="007C1FB6" w:rsidP="009543F1">
      <w:pPr>
        <w:jc w:val="both"/>
        <w:rPr>
          <w:sz w:val="24"/>
        </w:rPr>
        <w:sectPr w:rsidR="007C1FB6" w:rsidSect="000F099B">
          <w:headerReference w:type="default" r:id="rId8"/>
          <w:footerReference w:type="default" r:id="rId9"/>
          <w:type w:val="continuous"/>
          <w:pgSz w:w="12240" w:h="15840"/>
          <w:pgMar w:top="2380" w:right="240" w:bottom="2060" w:left="500" w:header="709" w:footer="1872" w:gutter="0"/>
          <w:pgNumType w:start="1"/>
          <w:cols w:space="720"/>
        </w:sectPr>
      </w:pPr>
    </w:p>
    <w:p w14:paraId="2FC88FCE" w14:textId="77777777" w:rsidR="007C1FB6" w:rsidRDefault="007C1FB6" w:rsidP="009543F1">
      <w:pPr>
        <w:pStyle w:val="Textoindependiente"/>
        <w:spacing w:before="1"/>
        <w:jc w:val="both"/>
        <w:rPr>
          <w:b/>
          <w:sz w:val="12"/>
        </w:rPr>
      </w:pPr>
    </w:p>
    <w:p w14:paraId="3C41A7EE" w14:textId="77777777" w:rsidR="007C1FB6" w:rsidRDefault="008E5ADB" w:rsidP="009543F1">
      <w:pPr>
        <w:spacing w:before="92"/>
        <w:ind w:left="1202"/>
        <w:jc w:val="both"/>
        <w:rPr>
          <w:b/>
          <w:sz w:val="24"/>
        </w:rPr>
      </w:pPr>
      <w:r>
        <w:rPr>
          <w:b/>
          <w:sz w:val="24"/>
        </w:rPr>
        <w:t>CONTROL DE CAMBIOS</w:t>
      </w:r>
    </w:p>
    <w:p w14:paraId="3DD42F7D" w14:textId="77777777" w:rsidR="007C1FB6" w:rsidRDefault="007C1FB6" w:rsidP="009543F1">
      <w:pPr>
        <w:pStyle w:val="Textoindependiente"/>
        <w:spacing w:before="11"/>
        <w:jc w:val="both"/>
        <w:rPr>
          <w:b/>
          <w:sz w:val="23"/>
        </w:rPr>
      </w:pPr>
    </w:p>
    <w:tbl>
      <w:tblPr>
        <w:tblStyle w:val="TableNormal"/>
        <w:tblW w:w="10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789"/>
        <w:gridCol w:w="616"/>
        <w:gridCol w:w="993"/>
        <w:gridCol w:w="6595"/>
      </w:tblGrid>
      <w:tr w:rsidR="007C1FB6" w14:paraId="1A7ED592" w14:textId="77777777" w:rsidTr="008A4CCE">
        <w:trPr>
          <w:trHeight w:val="460"/>
        </w:trPr>
        <w:tc>
          <w:tcPr>
            <w:tcW w:w="1229" w:type="dxa"/>
            <w:vMerge w:val="restart"/>
            <w:shd w:val="clear" w:color="auto" w:fill="B6DDE8"/>
          </w:tcPr>
          <w:p w14:paraId="102E9E49" w14:textId="77777777" w:rsidR="007C1FB6" w:rsidRDefault="007C1FB6" w:rsidP="009543F1">
            <w:pPr>
              <w:pStyle w:val="TableParagraph"/>
              <w:spacing w:before="4"/>
              <w:jc w:val="both"/>
              <w:rPr>
                <w:b/>
                <w:sz w:val="20"/>
              </w:rPr>
            </w:pPr>
          </w:p>
          <w:p w14:paraId="677B221F" w14:textId="77777777" w:rsidR="007C1FB6" w:rsidRDefault="008E5ADB" w:rsidP="009543F1">
            <w:pPr>
              <w:pStyle w:val="TableParagraph"/>
              <w:spacing w:before="1"/>
              <w:ind w:left="245"/>
              <w:jc w:val="both"/>
              <w:rPr>
                <w:rFonts w:ascii="Liberation Sans Narrow" w:hAnsi="Liberation Sans Narrow"/>
                <w:b/>
                <w:sz w:val="20"/>
              </w:rPr>
            </w:pPr>
            <w:r>
              <w:rPr>
                <w:rFonts w:ascii="Liberation Sans Narrow" w:hAnsi="Liberation Sans Narrow"/>
                <w:b/>
                <w:sz w:val="20"/>
              </w:rPr>
              <w:t>VERSIÓN</w:t>
            </w:r>
          </w:p>
        </w:tc>
        <w:tc>
          <w:tcPr>
            <w:tcW w:w="2398" w:type="dxa"/>
            <w:gridSpan w:val="3"/>
            <w:shd w:val="clear" w:color="auto" w:fill="B6DDE8"/>
          </w:tcPr>
          <w:p w14:paraId="79D8E3AA" w14:textId="77777777" w:rsidR="007C1FB6" w:rsidRDefault="008E5ADB" w:rsidP="009543F1">
            <w:pPr>
              <w:pStyle w:val="TableParagraph"/>
              <w:spacing w:before="3" w:line="230" w:lineRule="exact"/>
              <w:ind w:left="530" w:firstLine="144"/>
              <w:jc w:val="both"/>
              <w:rPr>
                <w:rFonts w:ascii="Liberation Sans Narrow" w:hAnsi="Liberation Sans Narrow"/>
                <w:b/>
                <w:sz w:val="20"/>
              </w:rPr>
            </w:pPr>
            <w:r>
              <w:rPr>
                <w:rFonts w:ascii="Liberation Sans Narrow" w:hAnsi="Liberation Sans Narrow"/>
                <w:b/>
                <w:sz w:val="20"/>
              </w:rPr>
              <w:t xml:space="preserve">FECHA DE </w:t>
            </w:r>
            <w:r>
              <w:rPr>
                <w:rFonts w:ascii="Liberation Sans Narrow" w:hAnsi="Liberation Sans Narrow"/>
                <w:b/>
                <w:w w:val="95"/>
                <w:sz w:val="20"/>
              </w:rPr>
              <w:t>APROBACIÓN</w:t>
            </w:r>
          </w:p>
        </w:tc>
        <w:tc>
          <w:tcPr>
            <w:tcW w:w="6595" w:type="dxa"/>
            <w:vMerge w:val="restart"/>
            <w:shd w:val="clear" w:color="auto" w:fill="B6DDE8"/>
          </w:tcPr>
          <w:p w14:paraId="10A2D9E3" w14:textId="77777777" w:rsidR="007C1FB6" w:rsidRDefault="007C1FB6" w:rsidP="009543F1">
            <w:pPr>
              <w:pStyle w:val="TableParagraph"/>
              <w:spacing w:before="4"/>
              <w:jc w:val="both"/>
              <w:rPr>
                <w:b/>
                <w:sz w:val="20"/>
              </w:rPr>
            </w:pPr>
          </w:p>
          <w:p w14:paraId="528D86F2" w14:textId="77777777" w:rsidR="007C1FB6" w:rsidRDefault="008E5ADB" w:rsidP="009543F1">
            <w:pPr>
              <w:pStyle w:val="TableParagraph"/>
              <w:spacing w:before="1"/>
              <w:ind w:left="2708" w:right="2697"/>
              <w:jc w:val="both"/>
              <w:rPr>
                <w:rFonts w:ascii="Liberation Sans Narrow" w:hAnsi="Liberation Sans Narrow"/>
                <w:b/>
                <w:sz w:val="20"/>
              </w:rPr>
            </w:pPr>
            <w:r>
              <w:rPr>
                <w:rFonts w:ascii="Liberation Sans Narrow" w:hAnsi="Liberation Sans Narrow"/>
                <w:b/>
                <w:sz w:val="20"/>
              </w:rPr>
              <w:t>DESCRIPCIÓN</w:t>
            </w:r>
          </w:p>
        </w:tc>
      </w:tr>
      <w:tr w:rsidR="007C1FB6" w14:paraId="58EB7C37" w14:textId="77777777" w:rsidTr="008A4CCE">
        <w:trPr>
          <w:trHeight w:val="227"/>
        </w:trPr>
        <w:tc>
          <w:tcPr>
            <w:tcW w:w="1229" w:type="dxa"/>
            <w:vMerge/>
            <w:tcBorders>
              <w:top w:val="nil"/>
            </w:tcBorders>
            <w:shd w:val="clear" w:color="auto" w:fill="B6DDE8"/>
          </w:tcPr>
          <w:p w14:paraId="0ED40BD9" w14:textId="77777777" w:rsidR="007C1FB6" w:rsidRDefault="007C1FB6" w:rsidP="009543F1">
            <w:pPr>
              <w:jc w:val="both"/>
              <w:rPr>
                <w:sz w:val="2"/>
                <w:szCs w:val="2"/>
              </w:rPr>
            </w:pPr>
          </w:p>
        </w:tc>
        <w:tc>
          <w:tcPr>
            <w:tcW w:w="789" w:type="dxa"/>
            <w:shd w:val="clear" w:color="auto" w:fill="B6DDE8"/>
          </w:tcPr>
          <w:p w14:paraId="77D73415" w14:textId="77777777" w:rsidR="007C1FB6" w:rsidRDefault="008E5ADB" w:rsidP="009543F1">
            <w:pPr>
              <w:pStyle w:val="TableParagraph"/>
              <w:spacing w:line="207" w:lineRule="exact"/>
              <w:ind w:right="198"/>
              <w:jc w:val="both"/>
              <w:rPr>
                <w:rFonts w:ascii="Liberation Sans Narrow"/>
                <w:b/>
                <w:sz w:val="20"/>
              </w:rPr>
            </w:pPr>
            <w:proofErr w:type="spellStart"/>
            <w:r>
              <w:rPr>
                <w:rFonts w:ascii="Liberation Sans Narrow"/>
                <w:b/>
                <w:w w:val="95"/>
                <w:sz w:val="20"/>
              </w:rPr>
              <w:t>aaaa</w:t>
            </w:r>
            <w:proofErr w:type="spellEnd"/>
          </w:p>
        </w:tc>
        <w:tc>
          <w:tcPr>
            <w:tcW w:w="616" w:type="dxa"/>
            <w:shd w:val="clear" w:color="auto" w:fill="B6DDE8"/>
          </w:tcPr>
          <w:p w14:paraId="15F608EF" w14:textId="77777777" w:rsidR="007C1FB6" w:rsidRDefault="008E5ADB" w:rsidP="009543F1">
            <w:pPr>
              <w:pStyle w:val="TableParagraph"/>
              <w:spacing w:line="207" w:lineRule="exact"/>
              <w:ind w:right="149"/>
              <w:jc w:val="both"/>
              <w:rPr>
                <w:rFonts w:ascii="Liberation Sans Narrow"/>
                <w:b/>
                <w:sz w:val="20"/>
              </w:rPr>
            </w:pPr>
            <w:r>
              <w:rPr>
                <w:rFonts w:ascii="Liberation Sans Narrow"/>
                <w:b/>
                <w:sz w:val="20"/>
              </w:rPr>
              <w:t>mm</w:t>
            </w:r>
          </w:p>
        </w:tc>
        <w:tc>
          <w:tcPr>
            <w:tcW w:w="993" w:type="dxa"/>
            <w:shd w:val="clear" w:color="auto" w:fill="B6DDE8"/>
          </w:tcPr>
          <w:p w14:paraId="1AC183AE" w14:textId="77777777" w:rsidR="007C1FB6" w:rsidRDefault="008E5ADB" w:rsidP="009543F1">
            <w:pPr>
              <w:pStyle w:val="TableParagraph"/>
              <w:spacing w:line="207" w:lineRule="exact"/>
              <w:ind w:left="270" w:right="256"/>
              <w:jc w:val="both"/>
              <w:rPr>
                <w:rFonts w:ascii="Liberation Sans Narrow"/>
                <w:b/>
                <w:sz w:val="20"/>
              </w:rPr>
            </w:pPr>
            <w:proofErr w:type="spellStart"/>
            <w:r>
              <w:rPr>
                <w:rFonts w:ascii="Liberation Sans Narrow"/>
                <w:b/>
                <w:sz w:val="20"/>
              </w:rPr>
              <w:t>dd</w:t>
            </w:r>
            <w:proofErr w:type="spellEnd"/>
          </w:p>
        </w:tc>
        <w:tc>
          <w:tcPr>
            <w:tcW w:w="6595" w:type="dxa"/>
            <w:vMerge/>
            <w:tcBorders>
              <w:top w:val="nil"/>
            </w:tcBorders>
            <w:shd w:val="clear" w:color="auto" w:fill="B6DDE8"/>
          </w:tcPr>
          <w:p w14:paraId="0CE56F4C" w14:textId="77777777" w:rsidR="007C1FB6" w:rsidRDefault="007C1FB6" w:rsidP="009543F1">
            <w:pPr>
              <w:jc w:val="both"/>
              <w:rPr>
                <w:sz w:val="2"/>
                <w:szCs w:val="2"/>
              </w:rPr>
            </w:pPr>
          </w:p>
        </w:tc>
      </w:tr>
      <w:tr w:rsidR="007C1FB6" w14:paraId="200DE9C6" w14:textId="77777777" w:rsidTr="008A4CCE">
        <w:trPr>
          <w:trHeight w:val="455"/>
        </w:trPr>
        <w:tc>
          <w:tcPr>
            <w:tcW w:w="1229" w:type="dxa"/>
          </w:tcPr>
          <w:p w14:paraId="5D09405E" w14:textId="77777777" w:rsidR="007C1FB6" w:rsidRDefault="008E5ADB" w:rsidP="009543F1">
            <w:pPr>
              <w:pStyle w:val="TableParagraph"/>
              <w:spacing w:before="112"/>
              <w:ind w:left="503" w:right="493"/>
              <w:jc w:val="both"/>
              <w:rPr>
                <w:rFonts w:ascii="Liberation Sans Narrow"/>
                <w:sz w:val="20"/>
              </w:rPr>
            </w:pPr>
            <w:r>
              <w:rPr>
                <w:rFonts w:ascii="Liberation Sans Narrow"/>
                <w:sz w:val="20"/>
              </w:rPr>
              <w:t>00</w:t>
            </w:r>
          </w:p>
        </w:tc>
        <w:tc>
          <w:tcPr>
            <w:tcW w:w="789" w:type="dxa"/>
          </w:tcPr>
          <w:p w14:paraId="46F72FB0" w14:textId="77777777" w:rsidR="007C1FB6" w:rsidRDefault="008E5ADB" w:rsidP="009543F1">
            <w:pPr>
              <w:pStyle w:val="TableParagraph"/>
              <w:spacing w:before="112"/>
              <w:ind w:right="198"/>
              <w:jc w:val="both"/>
              <w:rPr>
                <w:rFonts w:ascii="Liberation Sans Narrow"/>
                <w:sz w:val="20"/>
              </w:rPr>
            </w:pPr>
            <w:r>
              <w:rPr>
                <w:rFonts w:ascii="Liberation Sans Narrow"/>
                <w:w w:val="95"/>
                <w:sz w:val="20"/>
              </w:rPr>
              <w:t>201</w:t>
            </w:r>
            <w:r w:rsidR="00FB4862">
              <w:rPr>
                <w:rFonts w:ascii="Liberation Sans Narrow"/>
                <w:w w:val="95"/>
                <w:sz w:val="20"/>
              </w:rPr>
              <w:t>8</w:t>
            </w:r>
          </w:p>
        </w:tc>
        <w:tc>
          <w:tcPr>
            <w:tcW w:w="616" w:type="dxa"/>
          </w:tcPr>
          <w:p w14:paraId="13ED4F1A" w14:textId="77777777" w:rsidR="007C1FB6" w:rsidRDefault="008E5ADB" w:rsidP="009543F1">
            <w:pPr>
              <w:pStyle w:val="TableParagraph"/>
              <w:spacing w:before="112"/>
              <w:ind w:right="205"/>
              <w:jc w:val="both"/>
              <w:rPr>
                <w:rFonts w:ascii="Liberation Sans Narrow"/>
                <w:sz w:val="20"/>
              </w:rPr>
            </w:pPr>
            <w:r>
              <w:rPr>
                <w:rFonts w:ascii="Liberation Sans Narrow"/>
                <w:w w:val="95"/>
                <w:sz w:val="20"/>
              </w:rPr>
              <w:t>1</w:t>
            </w:r>
            <w:r w:rsidR="00FB4862">
              <w:rPr>
                <w:rFonts w:ascii="Liberation Sans Narrow"/>
                <w:w w:val="95"/>
                <w:sz w:val="20"/>
              </w:rPr>
              <w:t>2</w:t>
            </w:r>
          </w:p>
        </w:tc>
        <w:tc>
          <w:tcPr>
            <w:tcW w:w="993" w:type="dxa"/>
          </w:tcPr>
          <w:p w14:paraId="12005BF5" w14:textId="77777777" w:rsidR="007C1FB6" w:rsidRDefault="008E5ADB" w:rsidP="009543F1">
            <w:pPr>
              <w:pStyle w:val="TableParagraph"/>
              <w:spacing w:before="112"/>
              <w:ind w:left="270" w:right="256"/>
              <w:jc w:val="both"/>
              <w:rPr>
                <w:rFonts w:ascii="Liberation Sans Narrow"/>
                <w:sz w:val="20"/>
              </w:rPr>
            </w:pPr>
            <w:r>
              <w:rPr>
                <w:rFonts w:ascii="Liberation Sans Narrow"/>
                <w:sz w:val="20"/>
              </w:rPr>
              <w:t>12</w:t>
            </w:r>
          </w:p>
        </w:tc>
        <w:tc>
          <w:tcPr>
            <w:tcW w:w="6595" w:type="dxa"/>
          </w:tcPr>
          <w:p w14:paraId="32D492BB" w14:textId="77777777" w:rsidR="007C1FB6" w:rsidRDefault="008E5ADB" w:rsidP="009543F1">
            <w:pPr>
              <w:pStyle w:val="TableParagraph"/>
              <w:spacing w:line="227" w:lineRule="exact"/>
              <w:ind w:left="110"/>
              <w:jc w:val="both"/>
              <w:rPr>
                <w:rFonts w:ascii="Liberation Sans Narrow" w:hAnsi="Liberation Sans Narrow"/>
                <w:sz w:val="20"/>
              </w:rPr>
            </w:pPr>
            <w:r>
              <w:rPr>
                <w:rFonts w:ascii="Liberation Sans Narrow" w:hAnsi="Liberation Sans Narrow"/>
                <w:sz w:val="20"/>
              </w:rPr>
              <w:t>Creación del Documento</w:t>
            </w:r>
          </w:p>
        </w:tc>
      </w:tr>
      <w:tr w:rsidR="00FB4862" w14:paraId="56FDBC95" w14:textId="77777777" w:rsidTr="008A4CCE">
        <w:trPr>
          <w:trHeight w:val="455"/>
        </w:trPr>
        <w:tc>
          <w:tcPr>
            <w:tcW w:w="1229" w:type="dxa"/>
          </w:tcPr>
          <w:p w14:paraId="50CE229A" w14:textId="77777777" w:rsidR="00FB4862" w:rsidRDefault="00FB4862" w:rsidP="009543F1">
            <w:pPr>
              <w:pStyle w:val="TableParagraph"/>
              <w:spacing w:before="112"/>
              <w:ind w:left="503" w:right="493"/>
              <w:jc w:val="both"/>
              <w:rPr>
                <w:rFonts w:ascii="Liberation Sans Narrow"/>
                <w:sz w:val="20"/>
              </w:rPr>
            </w:pPr>
            <w:r>
              <w:rPr>
                <w:rFonts w:ascii="Liberation Sans Narrow"/>
                <w:sz w:val="20"/>
              </w:rPr>
              <w:t>01</w:t>
            </w:r>
          </w:p>
        </w:tc>
        <w:tc>
          <w:tcPr>
            <w:tcW w:w="789" w:type="dxa"/>
          </w:tcPr>
          <w:p w14:paraId="0F124757" w14:textId="77777777" w:rsidR="00FB4862" w:rsidRDefault="00FB4862" w:rsidP="009543F1">
            <w:pPr>
              <w:pStyle w:val="TableParagraph"/>
              <w:spacing w:before="113"/>
              <w:ind w:right="198"/>
              <w:jc w:val="both"/>
              <w:rPr>
                <w:rFonts w:ascii="Liberation Sans Narrow"/>
                <w:sz w:val="20"/>
              </w:rPr>
            </w:pPr>
            <w:r>
              <w:rPr>
                <w:rFonts w:ascii="Liberation Sans Narrow"/>
                <w:w w:val="95"/>
                <w:sz w:val="20"/>
              </w:rPr>
              <w:t>2019</w:t>
            </w:r>
          </w:p>
        </w:tc>
        <w:tc>
          <w:tcPr>
            <w:tcW w:w="616" w:type="dxa"/>
          </w:tcPr>
          <w:p w14:paraId="4B477C78" w14:textId="77777777" w:rsidR="00FB4862" w:rsidRDefault="000F099B" w:rsidP="009543F1">
            <w:pPr>
              <w:pStyle w:val="TableParagraph"/>
              <w:spacing w:before="113"/>
              <w:ind w:right="250"/>
              <w:jc w:val="both"/>
              <w:rPr>
                <w:rFonts w:ascii="Liberation Sans Narrow"/>
                <w:sz w:val="20"/>
              </w:rPr>
            </w:pPr>
            <w:r>
              <w:rPr>
                <w:rFonts w:ascii="Liberation Sans Narrow"/>
                <w:sz w:val="20"/>
              </w:rPr>
              <w:t>12</w:t>
            </w:r>
          </w:p>
        </w:tc>
        <w:tc>
          <w:tcPr>
            <w:tcW w:w="993" w:type="dxa"/>
          </w:tcPr>
          <w:p w14:paraId="107ED359" w14:textId="77777777" w:rsidR="00FB4862" w:rsidRDefault="00FB4862" w:rsidP="009543F1">
            <w:pPr>
              <w:pStyle w:val="TableParagraph"/>
              <w:spacing w:before="113"/>
              <w:ind w:left="270" w:right="256"/>
              <w:jc w:val="both"/>
              <w:rPr>
                <w:rFonts w:ascii="Liberation Sans Narrow"/>
                <w:sz w:val="20"/>
              </w:rPr>
            </w:pPr>
            <w:r>
              <w:rPr>
                <w:rFonts w:ascii="Liberation Sans Narrow"/>
                <w:sz w:val="20"/>
              </w:rPr>
              <w:t>28</w:t>
            </w:r>
          </w:p>
        </w:tc>
        <w:tc>
          <w:tcPr>
            <w:tcW w:w="6595" w:type="dxa"/>
          </w:tcPr>
          <w:p w14:paraId="6C7EC94F" w14:textId="77777777" w:rsidR="00FB4862" w:rsidRDefault="00FB4862" w:rsidP="009543F1">
            <w:pPr>
              <w:pStyle w:val="TableParagraph"/>
              <w:ind w:left="110"/>
              <w:jc w:val="both"/>
              <w:rPr>
                <w:rFonts w:ascii="Liberation Sans Narrow"/>
                <w:sz w:val="20"/>
              </w:rPr>
            </w:pPr>
            <w:r>
              <w:rPr>
                <w:rFonts w:ascii="Liberation Sans Narrow"/>
                <w:sz w:val="20"/>
              </w:rPr>
              <w:t>Se actualiza para el 2019 en varios temas que se piden por norma</w:t>
            </w:r>
          </w:p>
        </w:tc>
      </w:tr>
      <w:tr w:rsidR="0025448C" w14:paraId="648AE80E" w14:textId="77777777" w:rsidTr="008A4CCE">
        <w:trPr>
          <w:trHeight w:val="455"/>
        </w:trPr>
        <w:tc>
          <w:tcPr>
            <w:tcW w:w="1229" w:type="dxa"/>
          </w:tcPr>
          <w:p w14:paraId="04382C30" w14:textId="42465534" w:rsidR="0025448C" w:rsidRDefault="0025448C" w:rsidP="009543F1">
            <w:pPr>
              <w:pStyle w:val="TableParagraph"/>
              <w:spacing w:before="112"/>
              <w:ind w:left="503" w:right="493"/>
              <w:jc w:val="both"/>
              <w:rPr>
                <w:rFonts w:ascii="Liberation Sans Narrow"/>
                <w:sz w:val="20"/>
              </w:rPr>
            </w:pPr>
            <w:r>
              <w:rPr>
                <w:rFonts w:ascii="Liberation Sans Narrow"/>
                <w:sz w:val="20"/>
              </w:rPr>
              <w:t>02</w:t>
            </w:r>
          </w:p>
        </w:tc>
        <w:tc>
          <w:tcPr>
            <w:tcW w:w="789" w:type="dxa"/>
          </w:tcPr>
          <w:p w14:paraId="7A03EFD2" w14:textId="78EFBED4" w:rsidR="0025448C" w:rsidRDefault="0025448C" w:rsidP="009543F1">
            <w:pPr>
              <w:pStyle w:val="TableParagraph"/>
              <w:spacing w:before="113"/>
              <w:ind w:right="198"/>
              <w:jc w:val="both"/>
              <w:rPr>
                <w:rFonts w:ascii="Liberation Sans Narrow"/>
                <w:w w:val="95"/>
                <w:sz w:val="20"/>
              </w:rPr>
            </w:pPr>
            <w:r>
              <w:rPr>
                <w:rFonts w:ascii="Liberation Sans Narrow"/>
                <w:w w:val="95"/>
                <w:sz w:val="20"/>
              </w:rPr>
              <w:t>2020</w:t>
            </w:r>
          </w:p>
        </w:tc>
        <w:tc>
          <w:tcPr>
            <w:tcW w:w="616" w:type="dxa"/>
          </w:tcPr>
          <w:p w14:paraId="041448F3" w14:textId="56AE42C8" w:rsidR="0025448C" w:rsidRDefault="0025448C" w:rsidP="009543F1">
            <w:pPr>
              <w:pStyle w:val="TableParagraph"/>
              <w:spacing w:before="113"/>
              <w:ind w:right="250"/>
              <w:jc w:val="both"/>
              <w:rPr>
                <w:rFonts w:ascii="Liberation Sans Narrow"/>
                <w:sz w:val="20"/>
              </w:rPr>
            </w:pPr>
            <w:r>
              <w:rPr>
                <w:rFonts w:ascii="Liberation Sans Narrow"/>
                <w:sz w:val="20"/>
              </w:rPr>
              <w:t>12</w:t>
            </w:r>
          </w:p>
        </w:tc>
        <w:tc>
          <w:tcPr>
            <w:tcW w:w="993" w:type="dxa"/>
          </w:tcPr>
          <w:p w14:paraId="193F36EC" w14:textId="477D2049" w:rsidR="0025448C" w:rsidRDefault="0025448C" w:rsidP="009543F1">
            <w:pPr>
              <w:pStyle w:val="TableParagraph"/>
              <w:spacing w:before="113"/>
              <w:ind w:left="270" w:right="256"/>
              <w:jc w:val="both"/>
              <w:rPr>
                <w:rFonts w:ascii="Liberation Sans Narrow"/>
                <w:sz w:val="20"/>
              </w:rPr>
            </w:pPr>
            <w:r>
              <w:rPr>
                <w:rFonts w:ascii="Liberation Sans Narrow"/>
                <w:sz w:val="20"/>
              </w:rPr>
              <w:t>15</w:t>
            </w:r>
          </w:p>
        </w:tc>
        <w:tc>
          <w:tcPr>
            <w:tcW w:w="6595" w:type="dxa"/>
          </w:tcPr>
          <w:p w14:paraId="292AA865" w14:textId="295A911B" w:rsidR="0025448C" w:rsidRDefault="0025448C" w:rsidP="009543F1">
            <w:pPr>
              <w:pStyle w:val="TableParagraph"/>
              <w:ind w:left="110"/>
              <w:jc w:val="both"/>
              <w:rPr>
                <w:rFonts w:ascii="Liberation Sans Narrow"/>
                <w:sz w:val="20"/>
              </w:rPr>
            </w:pPr>
            <w:r>
              <w:rPr>
                <w:rFonts w:ascii="Liberation Sans Narrow"/>
                <w:sz w:val="20"/>
              </w:rPr>
              <w:t>Se actualiza para el 20</w:t>
            </w:r>
            <w:r>
              <w:rPr>
                <w:rFonts w:ascii="Liberation Sans Narrow"/>
                <w:sz w:val="20"/>
              </w:rPr>
              <w:t>20</w:t>
            </w:r>
            <w:r>
              <w:rPr>
                <w:rFonts w:ascii="Liberation Sans Narrow"/>
                <w:sz w:val="20"/>
              </w:rPr>
              <w:t xml:space="preserve"> en varios temas que se piden por norma</w:t>
            </w:r>
          </w:p>
        </w:tc>
      </w:tr>
    </w:tbl>
    <w:p w14:paraId="5F3874B9" w14:textId="77777777" w:rsidR="007C1FB6" w:rsidRDefault="007C1FB6" w:rsidP="009543F1">
      <w:pPr>
        <w:pStyle w:val="Textoindependiente"/>
        <w:jc w:val="both"/>
        <w:rPr>
          <w:b/>
          <w:sz w:val="26"/>
        </w:rPr>
      </w:pPr>
    </w:p>
    <w:p w14:paraId="13E2B9D2" w14:textId="77777777" w:rsidR="007C1FB6" w:rsidRDefault="007C1FB6" w:rsidP="009543F1">
      <w:pPr>
        <w:pStyle w:val="Textoindependiente"/>
        <w:jc w:val="both"/>
        <w:rPr>
          <w:b/>
          <w:sz w:val="26"/>
        </w:rPr>
      </w:pPr>
    </w:p>
    <w:p w14:paraId="7BFF743E" w14:textId="77777777" w:rsidR="00F019F8" w:rsidRDefault="00F019F8" w:rsidP="009543F1">
      <w:pPr>
        <w:pStyle w:val="Textoindependiente"/>
        <w:jc w:val="both"/>
        <w:rPr>
          <w:b/>
          <w:sz w:val="26"/>
        </w:rPr>
      </w:pPr>
    </w:p>
    <w:p w14:paraId="121B6F41" w14:textId="77777777" w:rsidR="00F019F8" w:rsidRDefault="00F019F8" w:rsidP="009543F1">
      <w:pPr>
        <w:pStyle w:val="Textoindependiente"/>
        <w:jc w:val="both"/>
        <w:rPr>
          <w:b/>
          <w:sz w:val="26"/>
        </w:rPr>
      </w:pPr>
    </w:p>
    <w:p w14:paraId="4187C67D" w14:textId="77777777" w:rsidR="00F019F8" w:rsidRDefault="00F019F8" w:rsidP="009543F1">
      <w:pPr>
        <w:pStyle w:val="Textoindependiente"/>
        <w:jc w:val="both"/>
        <w:rPr>
          <w:b/>
          <w:sz w:val="26"/>
        </w:rPr>
      </w:pPr>
    </w:p>
    <w:p w14:paraId="10D673E4" w14:textId="77777777" w:rsidR="00F019F8" w:rsidRDefault="00F019F8" w:rsidP="009543F1">
      <w:pPr>
        <w:pStyle w:val="Textoindependiente"/>
        <w:jc w:val="both"/>
        <w:rPr>
          <w:b/>
          <w:sz w:val="26"/>
        </w:rPr>
      </w:pPr>
    </w:p>
    <w:p w14:paraId="0E28BA70" w14:textId="77777777" w:rsidR="00F019F8" w:rsidRDefault="00F019F8" w:rsidP="009543F1">
      <w:pPr>
        <w:pStyle w:val="Textoindependiente"/>
        <w:jc w:val="both"/>
        <w:rPr>
          <w:b/>
          <w:sz w:val="26"/>
        </w:rPr>
      </w:pPr>
    </w:p>
    <w:p w14:paraId="4B850E8A" w14:textId="77777777" w:rsidR="00F019F8" w:rsidRDefault="00F019F8" w:rsidP="009543F1">
      <w:pPr>
        <w:pStyle w:val="Textoindependiente"/>
        <w:jc w:val="both"/>
        <w:rPr>
          <w:b/>
          <w:sz w:val="26"/>
        </w:rPr>
      </w:pPr>
    </w:p>
    <w:p w14:paraId="4A8B9248" w14:textId="77777777" w:rsidR="00F019F8" w:rsidRDefault="00F019F8" w:rsidP="009543F1">
      <w:pPr>
        <w:pStyle w:val="Textoindependiente"/>
        <w:jc w:val="both"/>
        <w:rPr>
          <w:b/>
          <w:sz w:val="26"/>
        </w:rPr>
      </w:pPr>
    </w:p>
    <w:p w14:paraId="6777BF4D" w14:textId="77777777" w:rsidR="00F019F8" w:rsidRDefault="00F019F8" w:rsidP="009543F1">
      <w:pPr>
        <w:pStyle w:val="Textoindependiente"/>
        <w:jc w:val="both"/>
        <w:rPr>
          <w:b/>
          <w:sz w:val="26"/>
        </w:rPr>
      </w:pPr>
    </w:p>
    <w:p w14:paraId="77F2E36E" w14:textId="77777777" w:rsidR="00F019F8" w:rsidRDefault="00F019F8" w:rsidP="009543F1">
      <w:pPr>
        <w:pStyle w:val="Textoindependiente"/>
        <w:jc w:val="both"/>
        <w:rPr>
          <w:b/>
          <w:sz w:val="26"/>
        </w:rPr>
      </w:pPr>
    </w:p>
    <w:p w14:paraId="3C0BF9D5" w14:textId="77777777" w:rsidR="00F019F8" w:rsidRDefault="00F019F8" w:rsidP="009543F1">
      <w:pPr>
        <w:pStyle w:val="Textoindependiente"/>
        <w:jc w:val="both"/>
        <w:rPr>
          <w:b/>
          <w:sz w:val="26"/>
        </w:rPr>
      </w:pPr>
    </w:p>
    <w:p w14:paraId="327C386C" w14:textId="77777777" w:rsidR="00F019F8" w:rsidRDefault="00F019F8" w:rsidP="009543F1">
      <w:pPr>
        <w:pStyle w:val="Textoindependiente"/>
        <w:jc w:val="both"/>
        <w:rPr>
          <w:b/>
          <w:sz w:val="26"/>
        </w:rPr>
      </w:pPr>
    </w:p>
    <w:p w14:paraId="628D4B1E" w14:textId="77777777" w:rsidR="00F019F8" w:rsidRDefault="00F019F8" w:rsidP="009543F1">
      <w:pPr>
        <w:pStyle w:val="Textoindependiente"/>
        <w:jc w:val="both"/>
        <w:rPr>
          <w:b/>
          <w:sz w:val="26"/>
        </w:rPr>
      </w:pPr>
    </w:p>
    <w:p w14:paraId="6187AD77" w14:textId="77777777" w:rsidR="00F019F8" w:rsidRDefault="00F019F8" w:rsidP="009543F1">
      <w:pPr>
        <w:pStyle w:val="Textoindependiente"/>
        <w:jc w:val="both"/>
        <w:rPr>
          <w:b/>
          <w:sz w:val="26"/>
        </w:rPr>
      </w:pPr>
    </w:p>
    <w:p w14:paraId="2D1699D4" w14:textId="77777777" w:rsidR="00F019F8" w:rsidRDefault="00F019F8" w:rsidP="009543F1">
      <w:pPr>
        <w:pStyle w:val="Textoindependiente"/>
        <w:jc w:val="both"/>
        <w:rPr>
          <w:b/>
          <w:sz w:val="26"/>
        </w:rPr>
      </w:pPr>
    </w:p>
    <w:p w14:paraId="57182D8F" w14:textId="77777777" w:rsidR="00F019F8" w:rsidRDefault="00F019F8" w:rsidP="009543F1">
      <w:pPr>
        <w:pStyle w:val="Textoindependiente"/>
        <w:jc w:val="both"/>
        <w:rPr>
          <w:b/>
          <w:sz w:val="26"/>
        </w:rPr>
      </w:pPr>
    </w:p>
    <w:p w14:paraId="5598B518" w14:textId="77777777" w:rsidR="00F019F8" w:rsidRDefault="00F019F8" w:rsidP="009543F1">
      <w:pPr>
        <w:pStyle w:val="Textoindependiente"/>
        <w:jc w:val="both"/>
        <w:rPr>
          <w:b/>
          <w:sz w:val="26"/>
        </w:rPr>
      </w:pPr>
    </w:p>
    <w:p w14:paraId="5E683401" w14:textId="77777777" w:rsidR="00FB4862" w:rsidRDefault="00FB4862" w:rsidP="009543F1">
      <w:pPr>
        <w:pStyle w:val="Textoindependiente"/>
        <w:jc w:val="both"/>
        <w:rPr>
          <w:b/>
          <w:sz w:val="26"/>
        </w:rPr>
      </w:pPr>
    </w:p>
    <w:p w14:paraId="5EA005D8" w14:textId="77777777" w:rsidR="00F019F8" w:rsidRDefault="00F019F8" w:rsidP="009543F1">
      <w:pPr>
        <w:pStyle w:val="Textoindependiente"/>
        <w:jc w:val="both"/>
        <w:rPr>
          <w:b/>
          <w:sz w:val="26"/>
        </w:rPr>
      </w:pPr>
    </w:p>
    <w:p w14:paraId="3C0D167F" w14:textId="77777777" w:rsidR="00F019F8" w:rsidRDefault="00F019F8" w:rsidP="009543F1">
      <w:pPr>
        <w:pStyle w:val="Textoindependiente"/>
        <w:jc w:val="both"/>
        <w:rPr>
          <w:b/>
          <w:sz w:val="26"/>
        </w:rPr>
      </w:pPr>
    </w:p>
    <w:p w14:paraId="5D24D69C" w14:textId="77777777" w:rsidR="00F019F8" w:rsidRDefault="00F019F8" w:rsidP="009543F1">
      <w:pPr>
        <w:pStyle w:val="Textoindependiente"/>
        <w:jc w:val="both"/>
        <w:rPr>
          <w:b/>
          <w:sz w:val="26"/>
        </w:rPr>
      </w:pPr>
    </w:p>
    <w:p w14:paraId="6949FBA8" w14:textId="77777777" w:rsidR="00F019F8" w:rsidRDefault="00F019F8" w:rsidP="009543F1">
      <w:pPr>
        <w:pStyle w:val="Textoindependiente"/>
        <w:jc w:val="both"/>
        <w:rPr>
          <w:b/>
          <w:sz w:val="26"/>
        </w:rPr>
      </w:pPr>
    </w:p>
    <w:p w14:paraId="564845D4" w14:textId="77777777" w:rsidR="000F099B" w:rsidRDefault="000F099B" w:rsidP="009543F1">
      <w:pPr>
        <w:pStyle w:val="Textoindependiente"/>
        <w:jc w:val="both"/>
        <w:rPr>
          <w:b/>
          <w:sz w:val="26"/>
        </w:rPr>
      </w:pPr>
    </w:p>
    <w:p w14:paraId="2DABC223" w14:textId="77777777" w:rsidR="00F019F8" w:rsidRDefault="00F019F8" w:rsidP="009543F1">
      <w:pPr>
        <w:pStyle w:val="Textoindependiente"/>
        <w:jc w:val="both"/>
        <w:rPr>
          <w:b/>
          <w:sz w:val="26"/>
        </w:rPr>
      </w:pPr>
    </w:p>
    <w:p w14:paraId="314396AD" w14:textId="77777777" w:rsidR="00F019F8" w:rsidRDefault="00F019F8" w:rsidP="009543F1">
      <w:pPr>
        <w:pStyle w:val="Textoindependiente"/>
        <w:jc w:val="both"/>
        <w:rPr>
          <w:b/>
          <w:sz w:val="26"/>
        </w:rPr>
      </w:pPr>
    </w:p>
    <w:p w14:paraId="08F83C26" w14:textId="77777777" w:rsidR="00F019F8" w:rsidRDefault="00F019F8" w:rsidP="009543F1">
      <w:pPr>
        <w:pStyle w:val="Textoindependiente"/>
        <w:jc w:val="both"/>
        <w:rPr>
          <w:b/>
          <w:sz w:val="26"/>
        </w:rPr>
      </w:pPr>
    </w:p>
    <w:p w14:paraId="3628345A" w14:textId="77777777" w:rsidR="009543F1" w:rsidRDefault="009543F1" w:rsidP="009543F1">
      <w:pPr>
        <w:pStyle w:val="Textoindependiente"/>
        <w:jc w:val="both"/>
        <w:rPr>
          <w:b/>
          <w:sz w:val="26"/>
        </w:rPr>
      </w:pPr>
    </w:p>
    <w:p w14:paraId="3F6D4387" w14:textId="77777777" w:rsidR="000F099B" w:rsidRDefault="000F099B" w:rsidP="009543F1">
      <w:pPr>
        <w:pStyle w:val="Textoindependiente"/>
        <w:jc w:val="both"/>
        <w:rPr>
          <w:b/>
          <w:sz w:val="26"/>
        </w:rPr>
      </w:pPr>
    </w:p>
    <w:p w14:paraId="5DC45BEC" w14:textId="77777777" w:rsidR="000F099B" w:rsidRDefault="000F099B" w:rsidP="009543F1">
      <w:pPr>
        <w:pStyle w:val="Textoindependiente"/>
        <w:jc w:val="both"/>
        <w:rPr>
          <w:b/>
          <w:sz w:val="26"/>
        </w:rPr>
      </w:pPr>
    </w:p>
    <w:p w14:paraId="51074A52" w14:textId="77777777" w:rsidR="000F099B" w:rsidRDefault="000F099B" w:rsidP="009543F1">
      <w:pPr>
        <w:pStyle w:val="Textoindependiente"/>
        <w:jc w:val="both"/>
        <w:rPr>
          <w:b/>
          <w:sz w:val="26"/>
        </w:rPr>
      </w:pPr>
    </w:p>
    <w:p w14:paraId="1FBB009C" w14:textId="77777777" w:rsidR="000F099B" w:rsidRDefault="000F099B" w:rsidP="009543F1">
      <w:pPr>
        <w:pStyle w:val="Textoindependiente"/>
        <w:jc w:val="both"/>
        <w:rPr>
          <w:b/>
          <w:sz w:val="26"/>
        </w:rPr>
      </w:pPr>
    </w:p>
    <w:p w14:paraId="64132BD3" w14:textId="77777777" w:rsidR="000F099B" w:rsidRDefault="000F099B" w:rsidP="009543F1">
      <w:pPr>
        <w:pStyle w:val="Textoindependiente"/>
        <w:jc w:val="both"/>
        <w:rPr>
          <w:b/>
          <w:sz w:val="26"/>
        </w:rPr>
      </w:pPr>
    </w:p>
    <w:p w14:paraId="4E851E9C" w14:textId="77777777" w:rsidR="000F099B" w:rsidRDefault="000F099B" w:rsidP="009543F1">
      <w:pPr>
        <w:pStyle w:val="Textoindependiente"/>
        <w:jc w:val="both"/>
        <w:rPr>
          <w:b/>
          <w:sz w:val="26"/>
        </w:rPr>
      </w:pPr>
    </w:p>
    <w:p w14:paraId="63F42228" w14:textId="77777777" w:rsidR="000F099B" w:rsidRDefault="000F099B" w:rsidP="009543F1">
      <w:pPr>
        <w:pStyle w:val="Textoindependiente"/>
        <w:jc w:val="both"/>
        <w:rPr>
          <w:b/>
          <w:sz w:val="26"/>
        </w:rPr>
      </w:pPr>
    </w:p>
    <w:p w14:paraId="27CF506B" w14:textId="77777777" w:rsidR="000F099B" w:rsidRDefault="000F099B" w:rsidP="009543F1">
      <w:pPr>
        <w:pStyle w:val="Textoindependiente"/>
        <w:jc w:val="both"/>
        <w:rPr>
          <w:b/>
          <w:sz w:val="26"/>
        </w:rPr>
      </w:pPr>
    </w:p>
    <w:p w14:paraId="574CE453" w14:textId="77777777" w:rsidR="000F099B" w:rsidRDefault="000F099B" w:rsidP="009543F1">
      <w:pPr>
        <w:pStyle w:val="Textoindependiente"/>
        <w:jc w:val="both"/>
        <w:rPr>
          <w:b/>
          <w:sz w:val="26"/>
        </w:rPr>
      </w:pPr>
    </w:p>
    <w:p w14:paraId="3BE01A9F" w14:textId="77777777" w:rsidR="009543F1" w:rsidRDefault="009543F1" w:rsidP="009543F1">
      <w:pPr>
        <w:pStyle w:val="Textoindependiente"/>
        <w:jc w:val="both"/>
        <w:rPr>
          <w:b/>
          <w:sz w:val="26"/>
        </w:rPr>
      </w:pPr>
    </w:p>
    <w:p w14:paraId="1F6A10C4" w14:textId="77777777" w:rsidR="000F099B" w:rsidRPr="006812C9" w:rsidRDefault="000F099B" w:rsidP="000F099B">
      <w:pPr>
        <w:jc w:val="center"/>
        <w:rPr>
          <w:rFonts w:ascii="Open Sans" w:hAnsi="Open Sans" w:cs="Open Sans"/>
          <w:b/>
          <w:lang w:val="es-CO"/>
        </w:rPr>
      </w:pPr>
      <w:r w:rsidRPr="006812C9">
        <w:rPr>
          <w:rFonts w:ascii="Open Sans" w:hAnsi="Open Sans" w:cs="Open Sans"/>
          <w:b/>
          <w:lang w:val="es-CO"/>
        </w:rPr>
        <w:t>TABLA DE CONTENIDO</w:t>
      </w:r>
    </w:p>
    <w:p w14:paraId="43120239" w14:textId="77777777" w:rsidR="000F099B" w:rsidRPr="00AE5229" w:rsidRDefault="000F099B" w:rsidP="000F099B">
      <w:pPr>
        <w:pStyle w:val="ENCABEZADOSCOLCIENCIAS"/>
        <w:spacing w:before="0" w:after="0" w:line="240" w:lineRule="auto"/>
        <w:jc w:val="center"/>
        <w:rPr>
          <w:rFonts w:asciiTheme="majorHAnsi" w:hAnsiTheme="majorHAnsi" w:cstheme="majorHAnsi"/>
          <w:color w:val="000000" w:themeColor="text1"/>
          <w:sz w:val="32"/>
          <w:szCs w:val="24"/>
          <w:lang w:val="es-CO"/>
        </w:rPr>
      </w:pPr>
    </w:p>
    <w:sdt>
      <w:sdtPr>
        <w:rPr>
          <w:rFonts w:ascii="Open Sans" w:eastAsiaTheme="minorEastAsia" w:hAnsi="Open Sans" w:cs="Open Sans"/>
          <w:b/>
          <w:bCs/>
          <w:caps/>
          <w:color w:val="auto"/>
          <w:sz w:val="20"/>
          <w:szCs w:val="20"/>
        </w:rPr>
        <w:id w:val="703522546"/>
        <w:docPartObj>
          <w:docPartGallery w:val="Table of Contents"/>
          <w:docPartUnique/>
        </w:docPartObj>
      </w:sdtPr>
      <w:sdtEndPr>
        <w:rPr>
          <w:rFonts w:eastAsia="Arial"/>
          <w:b w:val="0"/>
          <w:bCs w:val="0"/>
          <w:caps w:val="0"/>
        </w:rPr>
      </w:sdtEndPr>
      <w:sdtContent>
        <w:p w14:paraId="24EC2870" w14:textId="77777777" w:rsidR="000F099B" w:rsidRPr="0019739C" w:rsidRDefault="000F099B" w:rsidP="000F099B">
          <w:pPr>
            <w:pStyle w:val="TtuloTDC"/>
            <w:spacing w:before="0"/>
            <w:rPr>
              <w:rFonts w:ascii="Arial" w:hAnsi="Arial" w:cs="Arial"/>
              <w:color w:val="auto"/>
              <w:sz w:val="20"/>
              <w:szCs w:val="20"/>
            </w:rPr>
          </w:pPr>
        </w:p>
        <w:p w14:paraId="12D82177" w14:textId="77777777" w:rsidR="000F099B" w:rsidRDefault="000F099B" w:rsidP="000F099B">
          <w:pPr>
            <w:pStyle w:val="TDC1"/>
            <w:tabs>
              <w:tab w:val="left" w:pos="440"/>
              <w:tab w:val="right" w:leader="dot" w:pos="9628"/>
            </w:tabs>
            <w:rPr>
              <w:rFonts w:asciiTheme="minorHAnsi" w:hAnsiTheme="minorHAnsi" w:cstheme="minorBidi"/>
              <w:noProof/>
              <w:sz w:val="22"/>
              <w:szCs w:val="22"/>
              <w:lang w:val="es-CO" w:eastAsia="es-CO"/>
            </w:rPr>
          </w:pPr>
          <w:r w:rsidRPr="0019739C">
            <w:rPr>
              <w:rFonts w:ascii="Arial" w:hAnsi="Arial" w:cs="Arial"/>
              <w:b w:val="0"/>
              <w:bCs w:val="0"/>
              <w:sz w:val="20"/>
              <w:szCs w:val="20"/>
              <w:lang w:val="es-ES_tradnl"/>
            </w:rPr>
            <w:fldChar w:fldCharType="begin"/>
          </w:r>
          <w:r w:rsidRPr="0019739C">
            <w:rPr>
              <w:rFonts w:ascii="Arial" w:hAnsi="Arial" w:cs="Arial"/>
              <w:sz w:val="20"/>
              <w:szCs w:val="20"/>
            </w:rPr>
            <w:instrText xml:space="preserve"> TOC \o "1-3" \h \z \u </w:instrText>
          </w:r>
          <w:r w:rsidRPr="0019739C">
            <w:rPr>
              <w:rFonts w:ascii="Arial" w:hAnsi="Arial" w:cs="Arial"/>
              <w:b w:val="0"/>
              <w:bCs w:val="0"/>
              <w:sz w:val="20"/>
              <w:szCs w:val="20"/>
              <w:lang w:val="es-ES_tradnl"/>
            </w:rPr>
            <w:fldChar w:fldCharType="separate"/>
          </w:r>
          <w:hyperlink w:anchor="_Toc528775190" w:history="1">
            <w:r w:rsidRPr="00424B32">
              <w:rPr>
                <w:rStyle w:val="Hipervnculo"/>
                <w:noProof/>
              </w:rPr>
              <w:t>1.</w:t>
            </w:r>
            <w:r>
              <w:rPr>
                <w:rFonts w:asciiTheme="minorHAnsi" w:hAnsiTheme="minorHAnsi" w:cstheme="minorBidi"/>
                <w:noProof/>
                <w:sz w:val="22"/>
                <w:szCs w:val="22"/>
                <w:lang w:val="es-CO" w:eastAsia="es-CO"/>
              </w:rPr>
              <w:tab/>
            </w:r>
            <w:r w:rsidRPr="00424B32">
              <w:rPr>
                <w:rStyle w:val="Hipervnculo"/>
                <w:noProof/>
              </w:rPr>
              <w:t>OBJETIVO GENERAL</w:t>
            </w:r>
            <w:r>
              <w:rPr>
                <w:noProof/>
                <w:webHidden/>
              </w:rPr>
              <w:tab/>
            </w:r>
            <w:r>
              <w:rPr>
                <w:noProof/>
                <w:webHidden/>
              </w:rPr>
              <w:fldChar w:fldCharType="begin"/>
            </w:r>
            <w:r>
              <w:rPr>
                <w:noProof/>
                <w:webHidden/>
              </w:rPr>
              <w:instrText xml:space="preserve"> PAGEREF _Toc528775190 \h </w:instrText>
            </w:r>
            <w:r>
              <w:rPr>
                <w:noProof/>
                <w:webHidden/>
              </w:rPr>
            </w:r>
            <w:r>
              <w:rPr>
                <w:noProof/>
                <w:webHidden/>
              </w:rPr>
              <w:fldChar w:fldCharType="separate"/>
            </w:r>
            <w:r w:rsidR="0098415C">
              <w:rPr>
                <w:noProof/>
                <w:webHidden/>
              </w:rPr>
              <w:t>6</w:t>
            </w:r>
            <w:r>
              <w:rPr>
                <w:noProof/>
                <w:webHidden/>
              </w:rPr>
              <w:fldChar w:fldCharType="end"/>
            </w:r>
          </w:hyperlink>
        </w:p>
        <w:p w14:paraId="08887E5E" w14:textId="77777777" w:rsidR="000F099B" w:rsidRDefault="0086223A" w:rsidP="000F099B">
          <w:pPr>
            <w:pStyle w:val="TDC2"/>
            <w:tabs>
              <w:tab w:val="right" w:leader="dot" w:pos="9628"/>
            </w:tabs>
            <w:rPr>
              <w:noProof/>
              <w:lang w:val="es-CO" w:eastAsia="es-CO"/>
            </w:rPr>
          </w:pPr>
          <w:hyperlink w:anchor="_Toc528775191" w:history="1">
            <w:r w:rsidR="000F099B" w:rsidRPr="00424B32">
              <w:rPr>
                <w:rStyle w:val="Hipervnculo"/>
                <w:noProof/>
              </w:rPr>
              <w:t>1.1 OBJETIVOS ESPECÍFICOS</w:t>
            </w:r>
            <w:r w:rsidR="000F099B">
              <w:rPr>
                <w:noProof/>
                <w:webHidden/>
              </w:rPr>
              <w:tab/>
            </w:r>
            <w:r w:rsidR="000F099B">
              <w:rPr>
                <w:noProof/>
                <w:webHidden/>
              </w:rPr>
              <w:fldChar w:fldCharType="begin"/>
            </w:r>
            <w:r w:rsidR="000F099B">
              <w:rPr>
                <w:noProof/>
                <w:webHidden/>
              </w:rPr>
              <w:instrText xml:space="preserve"> PAGEREF _Toc528775191 \h </w:instrText>
            </w:r>
            <w:r w:rsidR="000F099B">
              <w:rPr>
                <w:noProof/>
                <w:webHidden/>
              </w:rPr>
            </w:r>
            <w:r w:rsidR="000F099B">
              <w:rPr>
                <w:noProof/>
                <w:webHidden/>
              </w:rPr>
              <w:fldChar w:fldCharType="separate"/>
            </w:r>
            <w:r w:rsidR="0098415C">
              <w:rPr>
                <w:noProof/>
                <w:webHidden/>
              </w:rPr>
              <w:t>6</w:t>
            </w:r>
            <w:r w:rsidR="000F099B">
              <w:rPr>
                <w:noProof/>
                <w:webHidden/>
              </w:rPr>
              <w:fldChar w:fldCharType="end"/>
            </w:r>
          </w:hyperlink>
        </w:p>
        <w:p w14:paraId="77648F19" w14:textId="77777777" w:rsidR="000F099B" w:rsidRDefault="0086223A" w:rsidP="000F099B">
          <w:pPr>
            <w:pStyle w:val="TDC1"/>
            <w:tabs>
              <w:tab w:val="left" w:pos="440"/>
              <w:tab w:val="right" w:leader="dot" w:pos="9628"/>
            </w:tabs>
            <w:rPr>
              <w:rFonts w:asciiTheme="minorHAnsi" w:hAnsiTheme="minorHAnsi" w:cstheme="minorBidi"/>
              <w:noProof/>
              <w:sz w:val="22"/>
              <w:szCs w:val="22"/>
              <w:lang w:val="es-CO" w:eastAsia="es-CO"/>
            </w:rPr>
          </w:pPr>
          <w:hyperlink w:anchor="_Toc528775192" w:history="1">
            <w:r w:rsidR="000F099B" w:rsidRPr="00424B32">
              <w:rPr>
                <w:rStyle w:val="Hipervnculo"/>
                <w:noProof/>
              </w:rPr>
              <w:t>2.</w:t>
            </w:r>
            <w:r w:rsidR="000F099B">
              <w:rPr>
                <w:rFonts w:asciiTheme="minorHAnsi" w:hAnsiTheme="minorHAnsi" w:cstheme="minorBidi"/>
                <w:noProof/>
                <w:sz w:val="22"/>
                <w:szCs w:val="22"/>
                <w:lang w:val="es-CO" w:eastAsia="es-CO"/>
              </w:rPr>
              <w:tab/>
            </w:r>
            <w:r w:rsidR="000F099B" w:rsidRPr="00424B32">
              <w:rPr>
                <w:rStyle w:val="Hipervnculo"/>
                <w:noProof/>
              </w:rPr>
              <w:t>GLOSARIO DE TÉRMINOS</w:t>
            </w:r>
            <w:r w:rsidR="000F099B">
              <w:rPr>
                <w:noProof/>
                <w:webHidden/>
              </w:rPr>
              <w:tab/>
            </w:r>
            <w:r w:rsidR="000F099B">
              <w:rPr>
                <w:noProof/>
                <w:webHidden/>
              </w:rPr>
              <w:fldChar w:fldCharType="begin"/>
            </w:r>
            <w:r w:rsidR="000F099B">
              <w:rPr>
                <w:noProof/>
                <w:webHidden/>
              </w:rPr>
              <w:instrText xml:space="preserve"> PAGEREF _Toc528775192 \h </w:instrText>
            </w:r>
            <w:r w:rsidR="000F099B">
              <w:rPr>
                <w:noProof/>
                <w:webHidden/>
              </w:rPr>
            </w:r>
            <w:r w:rsidR="000F099B">
              <w:rPr>
                <w:noProof/>
                <w:webHidden/>
              </w:rPr>
              <w:fldChar w:fldCharType="separate"/>
            </w:r>
            <w:r w:rsidR="0098415C">
              <w:rPr>
                <w:noProof/>
                <w:webHidden/>
              </w:rPr>
              <w:t>6</w:t>
            </w:r>
            <w:r w:rsidR="000F099B">
              <w:rPr>
                <w:noProof/>
                <w:webHidden/>
              </w:rPr>
              <w:fldChar w:fldCharType="end"/>
            </w:r>
          </w:hyperlink>
        </w:p>
        <w:p w14:paraId="67D29FB3" w14:textId="77777777" w:rsidR="000F099B" w:rsidRDefault="0086223A" w:rsidP="000F099B">
          <w:pPr>
            <w:pStyle w:val="TDC1"/>
            <w:tabs>
              <w:tab w:val="left" w:pos="440"/>
              <w:tab w:val="right" w:leader="dot" w:pos="9628"/>
            </w:tabs>
            <w:rPr>
              <w:rFonts w:asciiTheme="minorHAnsi" w:hAnsiTheme="minorHAnsi" w:cstheme="minorBidi"/>
              <w:noProof/>
              <w:sz w:val="22"/>
              <w:szCs w:val="22"/>
              <w:lang w:val="es-CO" w:eastAsia="es-CO"/>
            </w:rPr>
          </w:pPr>
          <w:hyperlink w:anchor="_Toc528775193" w:history="1">
            <w:r w:rsidR="000F099B" w:rsidRPr="00424B32">
              <w:rPr>
                <w:rStyle w:val="Hipervnculo"/>
                <w:noProof/>
              </w:rPr>
              <w:t>3.</w:t>
            </w:r>
            <w:r w:rsidR="000F099B">
              <w:rPr>
                <w:rFonts w:asciiTheme="minorHAnsi" w:hAnsiTheme="minorHAnsi" w:cstheme="minorBidi"/>
                <w:noProof/>
                <w:sz w:val="22"/>
                <w:szCs w:val="22"/>
                <w:lang w:val="es-CO" w:eastAsia="es-CO"/>
              </w:rPr>
              <w:tab/>
            </w:r>
            <w:r w:rsidR="000F099B" w:rsidRPr="00424B32">
              <w:rPr>
                <w:rStyle w:val="Hipervnculo"/>
                <w:noProof/>
              </w:rPr>
              <w:t>METODOLOGÍA DESARROLLADA</w:t>
            </w:r>
            <w:r w:rsidR="000F099B">
              <w:rPr>
                <w:noProof/>
                <w:webHidden/>
              </w:rPr>
              <w:tab/>
            </w:r>
            <w:r w:rsidR="000F099B">
              <w:rPr>
                <w:noProof/>
                <w:webHidden/>
              </w:rPr>
              <w:fldChar w:fldCharType="begin"/>
            </w:r>
            <w:r w:rsidR="000F099B">
              <w:rPr>
                <w:noProof/>
                <w:webHidden/>
              </w:rPr>
              <w:instrText xml:space="preserve"> PAGEREF _Toc528775193 \h </w:instrText>
            </w:r>
            <w:r w:rsidR="000F099B">
              <w:rPr>
                <w:noProof/>
                <w:webHidden/>
              </w:rPr>
            </w:r>
            <w:r w:rsidR="000F099B">
              <w:rPr>
                <w:noProof/>
                <w:webHidden/>
              </w:rPr>
              <w:fldChar w:fldCharType="separate"/>
            </w:r>
            <w:r w:rsidR="0098415C">
              <w:rPr>
                <w:noProof/>
                <w:webHidden/>
              </w:rPr>
              <w:t>8</w:t>
            </w:r>
            <w:r w:rsidR="000F099B">
              <w:rPr>
                <w:noProof/>
                <w:webHidden/>
              </w:rPr>
              <w:fldChar w:fldCharType="end"/>
            </w:r>
          </w:hyperlink>
        </w:p>
        <w:p w14:paraId="16458C58" w14:textId="77777777" w:rsidR="000F099B" w:rsidRDefault="0086223A" w:rsidP="000F099B">
          <w:pPr>
            <w:pStyle w:val="TDC2"/>
            <w:tabs>
              <w:tab w:val="left" w:pos="880"/>
              <w:tab w:val="right" w:leader="dot" w:pos="9628"/>
            </w:tabs>
            <w:rPr>
              <w:noProof/>
              <w:lang w:val="es-CO" w:eastAsia="es-CO"/>
            </w:rPr>
          </w:pPr>
          <w:hyperlink w:anchor="_Toc528775194" w:history="1">
            <w:r w:rsidR="000F099B" w:rsidRPr="00424B32">
              <w:rPr>
                <w:rStyle w:val="Hipervnculo"/>
                <w:rFonts w:ascii="Open Sans" w:hAnsi="Open Sans" w:cs="Open Sans"/>
                <w:noProof/>
              </w:rPr>
              <w:t>3.1</w:t>
            </w:r>
            <w:r w:rsidR="000F099B">
              <w:rPr>
                <w:noProof/>
                <w:lang w:val="es-CO" w:eastAsia="es-CO"/>
              </w:rPr>
              <w:tab/>
            </w:r>
            <w:r w:rsidR="000F099B" w:rsidRPr="00424B32">
              <w:rPr>
                <w:rStyle w:val="Hipervnculo"/>
                <w:rFonts w:ascii="Open Sans" w:hAnsi="Open Sans" w:cs="Open Sans"/>
                <w:noProof/>
              </w:rPr>
              <w:t>EQUIPO DE TRABAJO CONSULTOR</w:t>
            </w:r>
            <w:r w:rsidR="000F099B">
              <w:rPr>
                <w:noProof/>
                <w:webHidden/>
              </w:rPr>
              <w:tab/>
            </w:r>
            <w:r w:rsidR="000F099B">
              <w:rPr>
                <w:noProof/>
                <w:webHidden/>
              </w:rPr>
              <w:fldChar w:fldCharType="begin"/>
            </w:r>
            <w:r w:rsidR="000F099B">
              <w:rPr>
                <w:noProof/>
                <w:webHidden/>
              </w:rPr>
              <w:instrText xml:space="preserve"> PAGEREF _Toc528775194 \h </w:instrText>
            </w:r>
            <w:r w:rsidR="000F099B">
              <w:rPr>
                <w:noProof/>
                <w:webHidden/>
              </w:rPr>
            </w:r>
            <w:r w:rsidR="000F099B">
              <w:rPr>
                <w:noProof/>
                <w:webHidden/>
              </w:rPr>
              <w:fldChar w:fldCharType="separate"/>
            </w:r>
            <w:r w:rsidR="0098415C">
              <w:rPr>
                <w:noProof/>
                <w:webHidden/>
              </w:rPr>
              <w:t>8</w:t>
            </w:r>
            <w:r w:rsidR="000F099B">
              <w:rPr>
                <w:noProof/>
                <w:webHidden/>
              </w:rPr>
              <w:fldChar w:fldCharType="end"/>
            </w:r>
          </w:hyperlink>
        </w:p>
        <w:p w14:paraId="0525B82E" w14:textId="77777777" w:rsidR="000F099B" w:rsidRDefault="0086223A" w:rsidP="000F099B">
          <w:pPr>
            <w:pStyle w:val="TDC2"/>
            <w:tabs>
              <w:tab w:val="left" w:pos="880"/>
              <w:tab w:val="right" w:leader="dot" w:pos="9628"/>
            </w:tabs>
            <w:rPr>
              <w:noProof/>
              <w:lang w:val="es-CO" w:eastAsia="es-CO"/>
            </w:rPr>
          </w:pPr>
          <w:hyperlink w:anchor="_Toc528775195" w:history="1">
            <w:r w:rsidR="000F099B" w:rsidRPr="00424B32">
              <w:rPr>
                <w:rStyle w:val="Hipervnculo"/>
                <w:rFonts w:ascii="Open Sans" w:hAnsi="Open Sans" w:cs="Open Sans"/>
                <w:noProof/>
              </w:rPr>
              <w:t>3.2</w:t>
            </w:r>
            <w:r w:rsidR="000F099B">
              <w:rPr>
                <w:noProof/>
                <w:lang w:val="es-CO" w:eastAsia="es-CO"/>
              </w:rPr>
              <w:tab/>
            </w:r>
            <w:r w:rsidR="000F099B" w:rsidRPr="00424B32">
              <w:rPr>
                <w:rStyle w:val="Hipervnculo"/>
                <w:rFonts w:ascii="Open Sans" w:hAnsi="Open Sans" w:cs="Open Sans"/>
                <w:noProof/>
              </w:rPr>
              <w:t>EQUIPO DE TRABAJO INSTITUTO NACIONAL DE SALUD</w:t>
            </w:r>
            <w:r w:rsidR="000F099B">
              <w:rPr>
                <w:noProof/>
                <w:webHidden/>
              </w:rPr>
              <w:tab/>
            </w:r>
            <w:r w:rsidR="000F099B">
              <w:rPr>
                <w:noProof/>
                <w:webHidden/>
              </w:rPr>
              <w:fldChar w:fldCharType="begin"/>
            </w:r>
            <w:r w:rsidR="000F099B">
              <w:rPr>
                <w:noProof/>
                <w:webHidden/>
              </w:rPr>
              <w:instrText xml:space="preserve"> PAGEREF _Toc528775195 \h </w:instrText>
            </w:r>
            <w:r w:rsidR="000F099B">
              <w:rPr>
                <w:noProof/>
                <w:webHidden/>
              </w:rPr>
            </w:r>
            <w:r w:rsidR="000F099B">
              <w:rPr>
                <w:noProof/>
                <w:webHidden/>
              </w:rPr>
              <w:fldChar w:fldCharType="separate"/>
            </w:r>
            <w:r w:rsidR="0098415C">
              <w:rPr>
                <w:noProof/>
                <w:webHidden/>
              </w:rPr>
              <w:t>9</w:t>
            </w:r>
            <w:r w:rsidR="000F099B">
              <w:rPr>
                <w:noProof/>
                <w:webHidden/>
              </w:rPr>
              <w:fldChar w:fldCharType="end"/>
            </w:r>
          </w:hyperlink>
        </w:p>
        <w:p w14:paraId="131776A2" w14:textId="77777777" w:rsidR="000F099B" w:rsidRDefault="0086223A" w:rsidP="000F099B">
          <w:pPr>
            <w:pStyle w:val="TDC2"/>
            <w:tabs>
              <w:tab w:val="left" w:pos="880"/>
              <w:tab w:val="right" w:leader="dot" w:pos="9628"/>
            </w:tabs>
            <w:rPr>
              <w:noProof/>
              <w:lang w:val="es-CO" w:eastAsia="es-CO"/>
            </w:rPr>
          </w:pPr>
          <w:hyperlink w:anchor="_Toc528775196" w:history="1">
            <w:r w:rsidR="000F099B" w:rsidRPr="00424B32">
              <w:rPr>
                <w:rStyle w:val="Hipervnculo"/>
                <w:rFonts w:ascii="Open Sans" w:hAnsi="Open Sans" w:cs="Open Sans"/>
                <w:noProof/>
              </w:rPr>
              <w:t>3.3</w:t>
            </w:r>
            <w:r w:rsidR="000F099B">
              <w:rPr>
                <w:noProof/>
                <w:lang w:val="es-CO" w:eastAsia="es-CO"/>
              </w:rPr>
              <w:tab/>
            </w:r>
            <w:r w:rsidR="000F099B" w:rsidRPr="00424B32">
              <w:rPr>
                <w:rStyle w:val="Hipervnculo"/>
                <w:rFonts w:ascii="Open Sans" w:hAnsi="Open Sans" w:cs="Open Sans"/>
                <w:noProof/>
              </w:rPr>
              <w:t>ENTREVISTAS REALIZADAS</w:t>
            </w:r>
            <w:r w:rsidR="000F099B">
              <w:rPr>
                <w:noProof/>
                <w:webHidden/>
              </w:rPr>
              <w:tab/>
            </w:r>
            <w:r w:rsidR="000F099B">
              <w:rPr>
                <w:noProof/>
                <w:webHidden/>
              </w:rPr>
              <w:fldChar w:fldCharType="begin"/>
            </w:r>
            <w:r w:rsidR="000F099B">
              <w:rPr>
                <w:noProof/>
                <w:webHidden/>
              </w:rPr>
              <w:instrText xml:space="preserve"> PAGEREF _Toc528775196 \h </w:instrText>
            </w:r>
            <w:r w:rsidR="000F099B">
              <w:rPr>
                <w:noProof/>
                <w:webHidden/>
              </w:rPr>
            </w:r>
            <w:r w:rsidR="000F099B">
              <w:rPr>
                <w:noProof/>
                <w:webHidden/>
              </w:rPr>
              <w:fldChar w:fldCharType="separate"/>
            </w:r>
            <w:r w:rsidR="0098415C">
              <w:rPr>
                <w:noProof/>
                <w:webHidden/>
              </w:rPr>
              <w:t>9</w:t>
            </w:r>
            <w:r w:rsidR="000F099B">
              <w:rPr>
                <w:noProof/>
                <w:webHidden/>
              </w:rPr>
              <w:fldChar w:fldCharType="end"/>
            </w:r>
          </w:hyperlink>
        </w:p>
        <w:p w14:paraId="062EE7FE" w14:textId="77777777" w:rsidR="000F099B" w:rsidRDefault="0086223A" w:rsidP="000F099B">
          <w:pPr>
            <w:pStyle w:val="TDC2"/>
            <w:tabs>
              <w:tab w:val="left" w:pos="880"/>
              <w:tab w:val="right" w:leader="dot" w:pos="9628"/>
            </w:tabs>
            <w:rPr>
              <w:noProof/>
              <w:lang w:val="es-CO" w:eastAsia="es-CO"/>
            </w:rPr>
          </w:pPr>
          <w:hyperlink w:anchor="_Toc528775197" w:history="1">
            <w:r w:rsidR="000F099B" w:rsidRPr="00424B32">
              <w:rPr>
                <w:rStyle w:val="Hipervnculo"/>
                <w:rFonts w:ascii="Open Sans" w:hAnsi="Open Sans" w:cs="Open Sans"/>
                <w:noProof/>
              </w:rPr>
              <w:t>3.4</w:t>
            </w:r>
            <w:r w:rsidR="000F099B">
              <w:rPr>
                <w:noProof/>
                <w:lang w:val="es-CO" w:eastAsia="es-CO"/>
              </w:rPr>
              <w:tab/>
            </w:r>
            <w:r w:rsidR="000F099B" w:rsidRPr="00424B32">
              <w:rPr>
                <w:rStyle w:val="Hipervnculo"/>
                <w:rFonts w:ascii="Open Sans" w:hAnsi="Open Sans" w:cs="Open Sans"/>
                <w:noProof/>
              </w:rPr>
              <w:t>ESCALA DE VALORACIÓN DEL NIVEL DE CUMPLIMIENTO DEL ISO/IEC 27001</w:t>
            </w:r>
            <w:r w:rsidR="000F099B">
              <w:rPr>
                <w:noProof/>
                <w:webHidden/>
              </w:rPr>
              <w:tab/>
            </w:r>
            <w:r w:rsidR="000F099B">
              <w:rPr>
                <w:noProof/>
                <w:webHidden/>
              </w:rPr>
              <w:fldChar w:fldCharType="begin"/>
            </w:r>
            <w:r w:rsidR="000F099B">
              <w:rPr>
                <w:noProof/>
                <w:webHidden/>
              </w:rPr>
              <w:instrText xml:space="preserve"> PAGEREF _Toc528775197 \h </w:instrText>
            </w:r>
            <w:r w:rsidR="000F099B">
              <w:rPr>
                <w:noProof/>
                <w:webHidden/>
              </w:rPr>
            </w:r>
            <w:r w:rsidR="000F099B">
              <w:rPr>
                <w:noProof/>
                <w:webHidden/>
              </w:rPr>
              <w:fldChar w:fldCharType="separate"/>
            </w:r>
            <w:r w:rsidR="0098415C">
              <w:rPr>
                <w:noProof/>
                <w:webHidden/>
              </w:rPr>
              <w:t>10</w:t>
            </w:r>
            <w:r w:rsidR="000F099B">
              <w:rPr>
                <w:noProof/>
                <w:webHidden/>
              </w:rPr>
              <w:fldChar w:fldCharType="end"/>
            </w:r>
          </w:hyperlink>
        </w:p>
        <w:p w14:paraId="5086A528" w14:textId="77777777" w:rsidR="000F099B" w:rsidRDefault="0086223A" w:rsidP="000F099B">
          <w:pPr>
            <w:pStyle w:val="TDC2"/>
            <w:tabs>
              <w:tab w:val="left" w:pos="880"/>
              <w:tab w:val="right" w:leader="dot" w:pos="9628"/>
            </w:tabs>
            <w:rPr>
              <w:noProof/>
              <w:lang w:val="es-CO" w:eastAsia="es-CO"/>
            </w:rPr>
          </w:pPr>
          <w:hyperlink w:anchor="_Toc528775198" w:history="1">
            <w:r w:rsidR="000F099B" w:rsidRPr="00424B32">
              <w:rPr>
                <w:rStyle w:val="Hipervnculo"/>
                <w:rFonts w:ascii="Open Sans" w:hAnsi="Open Sans" w:cs="Open Sans"/>
                <w:noProof/>
              </w:rPr>
              <w:t>3.5</w:t>
            </w:r>
            <w:r w:rsidR="000F099B">
              <w:rPr>
                <w:noProof/>
                <w:lang w:val="es-CO" w:eastAsia="es-CO"/>
              </w:rPr>
              <w:tab/>
            </w:r>
            <w:r w:rsidR="000F099B" w:rsidRPr="00424B32">
              <w:rPr>
                <w:rStyle w:val="Hipervnculo"/>
                <w:rFonts w:ascii="Open Sans" w:hAnsi="Open Sans" w:cs="Open Sans"/>
                <w:noProof/>
              </w:rPr>
              <w:t>ESCALA DE VALORACION DEL NIVEL DE MADUREZ DEL SGSI</w:t>
            </w:r>
            <w:r w:rsidR="000F099B">
              <w:rPr>
                <w:noProof/>
                <w:webHidden/>
              </w:rPr>
              <w:tab/>
            </w:r>
            <w:r w:rsidR="000F099B">
              <w:rPr>
                <w:noProof/>
                <w:webHidden/>
              </w:rPr>
              <w:fldChar w:fldCharType="begin"/>
            </w:r>
            <w:r w:rsidR="000F099B">
              <w:rPr>
                <w:noProof/>
                <w:webHidden/>
              </w:rPr>
              <w:instrText xml:space="preserve"> PAGEREF _Toc528775198 \h </w:instrText>
            </w:r>
            <w:r w:rsidR="000F099B">
              <w:rPr>
                <w:noProof/>
                <w:webHidden/>
              </w:rPr>
            </w:r>
            <w:r w:rsidR="000F099B">
              <w:rPr>
                <w:noProof/>
                <w:webHidden/>
              </w:rPr>
              <w:fldChar w:fldCharType="separate"/>
            </w:r>
            <w:r w:rsidR="0098415C">
              <w:rPr>
                <w:noProof/>
                <w:webHidden/>
              </w:rPr>
              <w:t>10</w:t>
            </w:r>
            <w:r w:rsidR="000F099B">
              <w:rPr>
                <w:noProof/>
                <w:webHidden/>
              </w:rPr>
              <w:fldChar w:fldCharType="end"/>
            </w:r>
          </w:hyperlink>
        </w:p>
        <w:p w14:paraId="587ADDF9" w14:textId="77777777" w:rsidR="000F099B" w:rsidRDefault="0086223A" w:rsidP="000F099B">
          <w:pPr>
            <w:pStyle w:val="TDC1"/>
            <w:tabs>
              <w:tab w:val="left" w:pos="440"/>
              <w:tab w:val="right" w:leader="dot" w:pos="9628"/>
            </w:tabs>
            <w:rPr>
              <w:rFonts w:asciiTheme="minorHAnsi" w:hAnsiTheme="minorHAnsi" w:cstheme="minorBidi"/>
              <w:noProof/>
              <w:sz w:val="22"/>
              <w:szCs w:val="22"/>
              <w:lang w:val="es-CO" w:eastAsia="es-CO"/>
            </w:rPr>
          </w:pPr>
          <w:hyperlink w:anchor="_Toc528775199" w:history="1">
            <w:r w:rsidR="000F099B" w:rsidRPr="00424B32">
              <w:rPr>
                <w:rStyle w:val="Hipervnculo"/>
                <w:noProof/>
              </w:rPr>
              <w:t>4.</w:t>
            </w:r>
            <w:r w:rsidR="000F099B">
              <w:rPr>
                <w:rFonts w:asciiTheme="minorHAnsi" w:hAnsiTheme="minorHAnsi" w:cstheme="minorBidi"/>
                <w:noProof/>
                <w:sz w:val="22"/>
                <w:szCs w:val="22"/>
                <w:lang w:val="es-CO" w:eastAsia="es-CO"/>
              </w:rPr>
              <w:tab/>
            </w:r>
            <w:r w:rsidR="000F099B" w:rsidRPr="00424B32">
              <w:rPr>
                <w:rStyle w:val="Hipervnculo"/>
                <w:noProof/>
              </w:rPr>
              <w:t>RESULTADOS DEL ANÁLISIS DE BRECHAS</w:t>
            </w:r>
            <w:r w:rsidR="000F099B">
              <w:rPr>
                <w:noProof/>
                <w:webHidden/>
              </w:rPr>
              <w:tab/>
            </w:r>
            <w:r w:rsidR="000F099B">
              <w:rPr>
                <w:noProof/>
                <w:webHidden/>
              </w:rPr>
              <w:fldChar w:fldCharType="begin"/>
            </w:r>
            <w:r w:rsidR="000F099B">
              <w:rPr>
                <w:noProof/>
                <w:webHidden/>
              </w:rPr>
              <w:instrText xml:space="preserve"> PAGEREF _Toc528775199 \h </w:instrText>
            </w:r>
            <w:r w:rsidR="000F099B">
              <w:rPr>
                <w:noProof/>
                <w:webHidden/>
              </w:rPr>
            </w:r>
            <w:r w:rsidR="000F099B">
              <w:rPr>
                <w:noProof/>
                <w:webHidden/>
              </w:rPr>
              <w:fldChar w:fldCharType="separate"/>
            </w:r>
            <w:r w:rsidR="0098415C">
              <w:rPr>
                <w:noProof/>
                <w:webHidden/>
              </w:rPr>
              <w:t>13</w:t>
            </w:r>
            <w:r w:rsidR="000F099B">
              <w:rPr>
                <w:noProof/>
                <w:webHidden/>
              </w:rPr>
              <w:fldChar w:fldCharType="end"/>
            </w:r>
          </w:hyperlink>
        </w:p>
        <w:p w14:paraId="7CA28F9E" w14:textId="77777777" w:rsidR="000F099B" w:rsidRDefault="0086223A" w:rsidP="000F099B">
          <w:pPr>
            <w:pStyle w:val="TDC2"/>
            <w:tabs>
              <w:tab w:val="left" w:pos="880"/>
              <w:tab w:val="right" w:leader="dot" w:pos="9628"/>
            </w:tabs>
            <w:rPr>
              <w:noProof/>
              <w:lang w:val="es-CO" w:eastAsia="es-CO"/>
            </w:rPr>
          </w:pPr>
          <w:hyperlink w:anchor="_Toc528775200" w:history="1">
            <w:r w:rsidR="000F099B" w:rsidRPr="00424B32">
              <w:rPr>
                <w:rStyle w:val="Hipervnculo"/>
                <w:rFonts w:ascii="Open Sans" w:hAnsi="Open Sans" w:cs="Open Sans"/>
                <w:noProof/>
              </w:rPr>
              <w:t>4.1</w:t>
            </w:r>
            <w:r w:rsidR="000F099B">
              <w:rPr>
                <w:noProof/>
                <w:lang w:val="es-CO" w:eastAsia="es-CO"/>
              </w:rPr>
              <w:tab/>
            </w:r>
            <w:r w:rsidR="000F099B" w:rsidRPr="00424B32">
              <w:rPr>
                <w:rStyle w:val="Hipervnculo"/>
                <w:rFonts w:ascii="Open Sans" w:hAnsi="Open Sans" w:cs="Open Sans"/>
                <w:noProof/>
              </w:rPr>
              <w:t>NIVEL DE CUMPLIMIENTO DE CLAUSULAS (ISO/IEC 27001:2013)</w:t>
            </w:r>
            <w:r w:rsidR="000F099B">
              <w:rPr>
                <w:noProof/>
                <w:webHidden/>
              </w:rPr>
              <w:tab/>
            </w:r>
            <w:r w:rsidR="000F099B">
              <w:rPr>
                <w:noProof/>
                <w:webHidden/>
              </w:rPr>
              <w:fldChar w:fldCharType="begin"/>
            </w:r>
            <w:r w:rsidR="000F099B">
              <w:rPr>
                <w:noProof/>
                <w:webHidden/>
              </w:rPr>
              <w:instrText xml:space="preserve"> PAGEREF _Toc528775200 \h </w:instrText>
            </w:r>
            <w:r w:rsidR="000F099B">
              <w:rPr>
                <w:noProof/>
                <w:webHidden/>
              </w:rPr>
            </w:r>
            <w:r w:rsidR="000F099B">
              <w:rPr>
                <w:noProof/>
                <w:webHidden/>
              </w:rPr>
              <w:fldChar w:fldCharType="separate"/>
            </w:r>
            <w:r w:rsidR="0098415C">
              <w:rPr>
                <w:noProof/>
                <w:webHidden/>
              </w:rPr>
              <w:t>13</w:t>
            </w:r>
            <w:r w:rsidR="000F099B">
              <w:rPr>
                <w:noProof/>
                <w:webHidden/>
              </w:rPr>
              <w:fldChar w:fldCharType="end"/>
            </w:r>
          </w:hyperlink>
        </w:p>
        <w:p w14:paraId="036C8B66" w14:textId="77777777" w:rsidR="000F099B" w:rsidRDefault="0086223A" w:rsidP="000F099B">
          <w:pPr>
            <w:pStyle w:val="TDC2"/>
            <w:tabs>
              <w:tab w:val="left" w:pos="880"/>
              <w:tab w:val="right" w:leader="dot" w:pos="9628"/>
            </w:tabs>
            <w:rPr>
              <w:noProof/>
              <w:lang w:val="es-CO" w:eastAsia="es-CO"/>
            </w:rPr>
          </w:pPr>
          <w:hyperlink w:anchor="_Toc528775201" w:history="1">
            <w:r w:rsidR="000F099B" w:rsidRPr="00424B32">
              <w:rPr>
                <w:rStyle w:val="Hipervnculo"/>
                <w:rFonts w:ascii="Open Sans" w:hAnsi="Open Sans" w:cs="Open Sans"/>
                <w:noProof/>
              </w:rPr>
              <w:t>4.2</w:t>
            </w:r>
            <w:r w:rsidR="000F099B">
              <w:rPr>
                <w:noProof/>
                <w:lang w:val="es-CO" w:eastAsia="es-CO"/>
              </w:rPr>
              <w:tab/>
            </w:r>
            <w:r w:rsidR="000F099B" w:rsidRPr="00424B32">
              <w:rPr>
                <w:rStyle w:val="Hipervnculo"/>
                <w:rFonts w:ascii="Open Sans" w:hAnsi="Open Sans" w:cs="Open Sans"/>
                <w:noProof/>
              </w:rPr>
              <w:t>RESUMEN CUMPLIMIENTO (CLAUSULAS)</w:t>
            </w:r>
            <w:r w:rsidR="000F099B">
              <w:rPr>
                <w:noProof/>
                <w:webHidden/>
              </w:rPr>
              <w:tab/>
            </w:r>
            <w:r w:rsidR="000F099B">
              <w:rPr>
                <w:noProof/>
                <w:webHidden/>
              </w:rPr>
              <w:fldChar w:fldCharType="begin"/>
            </w:r>
            <w:r w:rsidR="000F099B">
              <w:rPr>
                <w:noProof/>
                <w:webHidden/>
              </w:rPr>
              <w:instrText xml:space="preserve"> PAGEREF _Toc528775201 \h </w:instrText>
            </w:r>
            <w:r w:rsidR="000F099B">
              <w:rPr>
                <w:noProof/>
                <w:webHidden/>
              </w:rPr>
            </w:r>
            <w:r w:rsidR="000F099B">
              <w:rPr>
                <w:noProof/>
                <w:webHidden/>
              </w:rPr>
              <w:fldChar w:fldCharType="separate"/>
            </w:r>
            <w:r w:rsidR="0098415C">
              <w:rPr>
                <w:noProof/>
                <w:webHidden/>
              </w:rPr>
              <w:t>14</w:t>
            </w:r>
            <w:r w:rsidR="000F099B">
              <w:rPr>
                <w:noProof/>
                <w:webHidden/>
              </w:rPr>
              <w:fldChar w:fldCharType="end"/>
            </w:r>
          </w:hyperlink>
        </w:p>
        <w:p w14:paraId="762C8A37" w14:textId="77777777" w:rsidR="000F099B" w:rsidRDefault="0086223A" w:rsidP="000F099B">
          <w:pPr>
            <w:pStyle w:val="TDC2"/>
            <w:tabs>
              <w:tab w:val="left" w:pos="880"/>
              <w:tab w:val="right" w:leader="dot" w:pos="9628"/>
            </w:tabs>
            <w:rPr>
              <w:noProof/>
              <w:lang w:val="es-CO" w:eastAsia="es-CO"/>
            </w:rPr>
          </w:pPr>
          <w:hyperlink w:anchor="_Toc528775202" w:history="1">
            <w:r w:rsidR="000F099B" w:rsidRPr="00424B32">
              <w:rPr>
                <w:rStyle w:val="Hipervnculo"/>
                <w:rFonts w:ascii="Open Sans" w:hAnsi="Open Sans" w:cs="Open Sans"/>
                <w:noProof/>
              </w:rPr>
              <w:t>4.3</w:t>
            </w:r>
            <w:r w:rsidR="000F099B">
              <w:rPr>
                <w:noProof/>
                <w:lang w:val="es-CO" w:eastAsia="es-CO"/>
              </w:rPr>
              <w:tab/>
            </w:r>
            <w:r w:rsidR="000F099B" w:rsidRPr="00424B32">
              <w:rPr>
                <w:rStyle w:val="Hipervnculo"/>
                <w:rFonts w:ascii="Open Sans" w:hAnsi="Open Sans" w:cs="Open Sans"/>
                <w:noProof/>
              </w:rPr>
              <w:t>ANÁLISIS DE MADUREZ DEL SGSI</w:t>
            </w:r>
            <w:r w:rsidR="000F099B">
              <w:rPr>
                <w:noProof/>
                <w:webHidden/>
              </w:rPr>
              <w:tab/>
            </w:r>
            <w:r w:rsidR="000F099B">
              <w:rPr>
                <w:noProof/>
                <w:webHidden/>
              </w:rPr>
              <w:fldChar w:fldCharType="begin"/>
            </w:r>
            <w:r w:rsidR="000F099B">
              <w:rPr>
                <w:noProof/>
                <w:webHidden/>
              </w:rPr>
              <w:instrText xml:space="preserve"> PAGEREF _Toc528775202 \h </w:instrText>
            </w:r>
            <w:r w:rsidR="000F099B">
              <w:rPr>
                <w:noProof/>
                <w:webHidden/>
              </w:rPr>
            </w:r>
            <w:r w:rsidR="000F099B">
              <w:rPr>
                <w:noProof/>
                <w:webHidden/>
              </w:rPr>
              <w:fldChar w:fldCharType="separate"/>
            </w:r>
            <w:r w:rsidR="0098415C">
              <w:rPr>
                <w:noProof/>
                <w:webHidden/>
              </w:rPr>
              <w:t>15</w:t>
            </w:r>
            <w:r w:rsidR="000F099B">
              <w:rPr>
                <w:noProof/>
                <w:webHidden/>
              </w:rPr>
              <w:fldChar w:fldCharType="end"/>
            </w:r>
          </w:hyperlink>
        </w:p>
        <w:p w14:paraId="25BF48BB" w14:textId="77777777" w:rsidR="000F099B" w:rsidRDefault="0086223A" w:rsidP="000F099B">
          <w:pPr>
            <w:pStyle w:val="TDC2"/>
            <w:tabs>
              <w:tab w:val="left" w:pos="880"/>
              <w:tab w:val="right" w:leader="dot" w:pos="9628"/>
            </w:tabs>
            <w:rPr>
              <w:noProof/>
              <w:lang w:val="es-CO" w:eastAsia="es-CO"/>
            </w:rPr>
          </w:pPr>
          <w:hyperlink w:anchor="_Toc528775203" w:history="1">
            <w:r w:rsidR="000F099B" w:rsidRPr="00424B32">
              <w:rPr>
                <w:rStyle w:val="Hipervnculo"/>
                <w:rFonts w:ascii="Open Sans" w:hAnsi="Open Sans" w:cs="Open Sans"/>
                <w:noProof/>
              </w:rPr>
              <w:t>4.4</w:t>
            </w:r>
            <w:r w:rsidR="000F099B">
              <w:rPr>
                <w:noProof/>
                <w:lang w:val="es-CO" w:eastAsia="es-CO"/>
              </w:rPr>
              <w:tab/>
            </w:r>
            <w:r w:rsidR="000F099B" w:rsidRPr="00424B32">
              <w:rPr>
                <w:rStyle w:val="Hipervnculo"/>
                <w:rFonts w:ascii="Open Sans" w:hAnsi="Open Sans" w:cs="Open Sans"/>
                <w:noProof/>
              </w:rPr>
              <w:t>NIVEL DE IMPLEMENTACIÓN DE LOS REQURIMIENTOS DEL ANEXO A (ISO/IEC 27001:2015)</w:t>
            </w:r>
            <w:r w:rsidR="000F099B">
              <w:rPr>
                <w:noProof/>
                <w:webHidden/>
              </w:rPr>
              <w:tab/>
            </w:r>
            <w:r w:rsidR="000F099B">
              <w:rPr>
                <w:noProof/>
                <w:webHidden/>
              </w:rPr>
              <w:fldChar w:fldCharType="begin"/>
            </w:r>
            <w:r w:rsidR="000F099B">
              <w:rPr>
                <w:noProof/>
                <w:webHidden/>
              </w:rPr>
              <w:instrText xml:space="preserve"> PAGEREF _Toc528775203 \h </w:instrText>
            </w:r>
            <w:r w:rsidR="000F099B">
              <w:rPr>
                <w:noProof/>
                <w:webHidden/>
              </w:rPr>
            </w:r>
            <w:r w:rsidR="000F099B">
              <w:rPr>
                <w:noProof/>
                <w:webHidden/>
              </w:rPr>
              <w:fldChar w:fldCharType="separate"/>
            </w:r>
            <w:r w:rsidR="0098415C">
              <w:rPr>
                <w:noProof/>
                <w:webHidden/>
              </w:rPr>
              <w:t>16</w:t>
            </w:r>
            <w:r w:rsidR="000F099B">
              <w:rPr>
                <w:noProof/>
                <w:webHidden/>
              </w:rPr>
              <w:fldChar w:fldCharType="end"/>
            </w:r>
          </w:hyperlink>
        </w:p>
        <w:p w14:paraId="36560560" w14:textId="77777777" w:rsidR="000F099B" w:rsidRDefault="0086223A" w:rsidP="000F099B">
          <w:pPr>
            <w:pStyle w:val="TDC2"/>
            <w:tabs>
              <w:tab w:val="left" w:pos="880"/>
              <w:tab w:val="right" w:leader="dot" w:pos="9628"/>
            </w:tabs>
            <w:rPr>
              <w:noProof/>
              <w:lang w:val="es-CO" w:eastAsia="es-CO"/>
            </w:rPr>
          </w:pPr>
          <w:hyperlink w:anchor="_Toc528775204" w:history="1">
            <w:r w:rsidR="000F099B" w:rsidRPr="00424B32">
              <w:rPr>
                <w:rStyle w:val="Hipervnculo"/>
                <w:rFonts w:ascii="Open Sans" w:hAnsi="Open Sans" w:cs="Open Sans"/>
                <w:noProof/>
              </w:rPr>
              <w:t>4.5</w:t>
            </w:r>
            <w:r w:rsidR="000F099B">
              <w:rPr>
                <w:noProof/>
                <w:lang w:val="es-CO" w:eastAsia="es-CO"/>
              </w:rPr>
              <w:tab/>
            </w:r>
            <w:r w:rsidR="000F099B" w:rsidRPr="00424B32">
              <w:rPr>
                <w:rStyle w:val="Hipervnculo"/>
                <w:rFonts w:ascii="Open Sans" w:hAnsi="Open Sans" w:cs="Open Sans"/>
                <w:noProof/>
              </w:rPr>
              <w:t>RESUMEN IMPLEMENTACIÓN ANEXO A</w:t>
            </w:r>
            <w:r w:rsidR="000F099B">
              <w:rPr>
                <w:noProof/>
                <w:webHidden/>
              </w:rPr>
              <w:tab/>
            </w:r>
            <w:r w:rsidR="000F099B">
              <w:rPr>
                <w:noProof/>
                <w:webHidden/>
              </w:rPr>
              <w:fldChar w:fldCharType="begin"/>
            </w:r>
            <w:r w:rsidR="000F099B">
              <w:rPr>
                <w:noProof/>
                <w:webHidden/>
              </w:rPr>
              <w:instrText xml:space="preserve"> PAGEREF _Toc528775204 \h </w:instrText>
            </w:r>
            <w:r w:rsidR="000F099B">
              <w:rPr>
                <w:noProof/>
                <w:webHidden/>
              </w:rPr>
            </w:r>
            <w:r w:rsidR="000F099B">
              <w:rPr>
                <w:noProof/>
                <w:webHidden/>
              </w:rPr>
              <w:fldChar w:fldCharType="separate"/>
            </w:r>
            <w:r w:rsidR="0098415C">
              <w:rPr>
                <w:noProof/>
                <w:webHidden/>
              </w:rPr>
              <w:t>17</w:t>
            </w:r>
            <w:r w:rsidR="000F099B">
              <w:rPr>
                <w:noProof/>
                <w:webHidden/>
              </w:rPr>
              <w:fldChar w:fldCharType="end"/>
            </w:r>
          </w:hyperlink>
        </w:p>
        <w:p w14:paraId="1D190CBE" w14:textId="77777777" w:rsidR="000F099B" w:rsidRDefault="0086223A" w:rsidP="000F099B">
          <w:pPr>
            <w:pStyle w:val="TDC2"/>
            <w:tabs>
              <w:tab w:val="left" w:pos="880"/>
              <w:tab w:val="right" w:leader="dot" w:pos="9628"/>
            </w:tabs>
            <w:rPr>
              <w:noProof/>
              <w:lang w:val="es-CO" w:eastAsia="es-CO"/>
            </w:rPr>
          </w:pPr>
          <w:hyperlink w:anchor="_Toc528775205" w:history="1">
            <w:r w:rsidR="000F099B" w:rsidRPr="00424B32">
              <w:rPr>
                <w:rStyle w:val="Hipervnculo"/>
                <w:rFonts w:ascii="Open Sans" w:hAnsi="Open Sans" w:cs="Open Sans"/>
                <w:noProof/>
              </w:rPr>
              <w:t>4.6</w:t>
            </w:r>
            <w:r w:rsidR="000F099B">
              <w:rPr>
                <w:noProof/>
                <w:lang w:val="es-CO" w:eastAsia="es-CO"/>
              </w:rPr>
              <w:tab/>
            </w:r>
            <w:r w:rsidR="000F099B" w:rsidRPr="00424B32">
              <w:rPr>
                <w:rStyle w:val="Hipervnculo"/>
                <w:rFonts w:ascii="Open Sans" w:hAnsi="Open Sans" w:cs="Open Sans"/>
                <w:noProof/>
              </w:rPr>
              <w:t>ANÁLISIS DE MADUREZ DEL ANEXO A</w:t>
            </w:r>
            <w:r w:rsidR="000F099B">
              <w:rPr>
                <w:noProof/>
                <w:webHidden/>
              </w:rPr>
              <w:tab/>
            </w:r>
            <w:r w:rsidR="000F099B">
              <w:rPr>
                <w:noProof/>
                <w:webHidden/>
              </w:rPr>
              <w:fldChar w:fldCharType="begin"/>
            </w:r>
            <w:r w:rsidR="000F099B">
              <w:rPr>
                <w:noProof/>
                <w:webHidden/>
              </w:rPr>
              <w:instrText xml:space="preserve"> PAGEREF _Toc528775205 \h </w:instrText>
            </w:r>
            <w:r w:rsidR="000F099B">
              <w:rPr>
                <w:noProof/>
                <w:webHidden/>
              </w:rPr>
            </w:r>
            <w:r w:rsidR="000F099B">
              <w:rPr>
                <w:noProof/>
                <w:webHidden/>
              </w:rPr>
              <w:fldChar w:fldCharType="separate"/>
            </w:r>
            <w:r w:rsidR="0098415C">
              <w:rPr>
                <w:noProof/>
                <w:webHidden/>
              </w:rPr>
              <w:t>19</w:t>
            </w:r>
            <w:r w:rsidR="000F099B">
              <w:rPr>
                <w:noProof/>
                <w:webHidden/>
              </w:rPr>
              <w:fldChar w:fldCharType="end"/>
            </w:r>
          </w:hyperlink>
        </w:p>
        <w:p w14:paraId="650A98D5" w14:textId="77777777" w:rsidR="000F099B" w:rsidRDefault="0086223A" w:rsidP="000F099B">
          <w:pPr>
            <w:pStyle w:val="TDC1"/>
            <w:tabs>
              <w:tab w:val="left" w:pos="440"/>
              <w:tab w:val="right" w:leader="dot" w:pos="9628"/>
            </w:tabs>
            <w:rPr>
              <w:rFonts w:asciiTheme="minorHAnsi" w:hAnsiTheme="minorHAnsi" w:cstheme="minorBidi"/>
              <w:noProof/>
              <w:sz w:val="22"/>
              <w:szCs w:val="22"/>
              <w:lang w:val="es-CO" w:eastAsia="es-CO"/>
            </w:rPr>
          </w:pPr>
          <w:hyperlink w:anchor="_Toc528775206" w:history="1">
            <w:r w:rsidR="000F099B" w:rsidRPr="00424B32">
              <w:rPr>
                <w:rStyle w:val="Hipervnculo"/>
                <w:noProof/>
              </w:rPr>
              <w:t>5.</w:t>
            </w:r>
            <w:r w:rsidR="000F099B">
              <w:rPr>
                <w:rFonts w:asciiTheme="minorHAnsi" w:hAnsiTheme="minorHAnsi" w:cstheme="minorBidi"/>
                <w:noProof/>
                <w:sz w:val="22"/>
                <w:szCs w:val="22"/>
                <w:lang w:val="es-CO" w:eastAsia="es-CO"/>
              </w:rPr>
              <w:tab/>
            </w:r>
            <w:r w:rsidR="000F099B" w:rsidRPr="00424B32">
              <w:rPr>
                <w:rStyle w:val="Hipervnculo"/>
                <w:noProof/>
              </w:rPr>
              <w:t>CONCLUSIONES</w:t>
            </w:r>
            <w:r w:rsidR="000F099B">
              <w:rPr>
                <w:noProof/>
                <w:webHidden/>
              </w:rPr>
              <w:tab/>
            </w:r>
            <w:r w:rsidR="000F099B">
              <w:rPr>
                <w:noProof/>
                <w:webHidden/>
              </w:rPr>
              <w:fldChar w:fldCharType="begin"/>
            </w:r>
            <w:r w:rsidR="000F099B">
              <w:rPr>
                <w:noProof/>
                <w:webHidden/>
              </w:rPr>
              <w:instrText xml:space="preserve"> PAGEREF _Toc528775206 \h </w:instrText>
            </w:r>
            <w:r w:rsidR="000F099B">
              <w:rPr>
                <w:noProof/>
                <w:webHidden/>
              </w:rPr>
            </w:r>
            <w:r w:rsidR="000F099B">
              <w:rPr>
                <w:noProof/>
                <w:webHidden/>
              </w:rPr>
              <w:fldChar w:fldCharType="separate"/>
            </w:r>
            <w:r w:rsidR="0098415C">
              <w:rPr>
                <w:noProof/>
                <w:webHidden/>
              </w:rPr>
              <w:t>21</w:t>
            </w:r>
            <w:r w:rsidR="000F099B">
              <w:rPr>
                <w:noProof/>
                <w:webHidden/>
              </w:rPr>
              <w:fldChar w:fldCharType="end"/>
            </w:r>
          </w:hyperlink>
        </w:p>
        <w:p w14:paraId="62960BFA" w14:textId="77777777" w:rsidR="000F099B" w:rsidRDefault="0086223A" w:rsidP="000F099B">
          <w:pPr>
            <w:pStyle w:val="TDC1"/>
            <w:tabs>
              <w:tab w:val="left" w:pos="440"/>
              <w:tab w:val="right" w:leader="dot" w:pos="9628"/>
            </w:tabs>
            <w:rPr>
              <w:rFonts w:asciiTheme="minorHAnsi" w:hAnsiTheme="minorHAnsi" w:cstheme="minorBidi"/>
              <w:noProof/>
              <w:sz w:val="22"/>
              <w:szCs w:val="22"/>
              <w:lang w:val="es-CO" w:eastAsia="es-CO"/>
            </w:rPr>
          </w:pPr>
          <w:hyperlink w:anchor="_Toc528775207" w:history="1">
            <w:r w:rsidR="000F099B" w:rsidRPr="00424B32">
              <w:rPr>
                <w:rStyle w:val="Hipervnculo"/>
                <w:noProof/>
              </w:rPr>
              <w:t>6.</w:t>
            </w:r>
            <w:r w:rsidR="000F099B">
              <w:rPr>
                <w:rFonts w:asciiTheme="minorHAnsi" w:hAnsiTheme="minorHAnsi" w:cstheme="minorBidi"/>
                <w:noProof/>
                <w:sz w:val="22"/>
                <w:szCs w:val="22"/>
                <w:lang w:val="es-CO" w:eastAsia="es-CO"/>
              </w:rPr>
              <w:tab/>
            </w:r>
            <w:r w:rsidR="000F099B" w:rsidRPr="00424B32">
              <w:rPr>
                <w:rStyle w:val="Hipervnculo"/>
                <w:noProof/>
              </w:rPr>
              <w:t>BIBLIOGRAFÍA</w:t>
            </w:r>
            <w:r w:rsidR="000F099B">
              <w:rPr>
                <w:noProof/>
                <w:webHidden/>
              </w:rPr>
              <w:tab/>
            </w:r>
            <w:r w:rsidR="000F099B">
              <w:rPr>
                <w:noProof/>
                <w:webHidden/>
              </w:rPr>
              <w:fldChar w:fldCharType="begin"/>
            </w:r>
            <w:r w:rsidR="000F099B">
              <w:rPr>
                <w:noProof/>
                <w:webHidden/>
              </w:rPr>
              <w:instrText xml:space="preserve"> PAGEREF _Toc528775207 \h </w:instrText>
            </w:r>
            <w:r w:rsidR="000F099B">
              <w:rPr>
                <w:noProof/>
                <w:webHidden/>
              </w:rPr>
            </w:r>
            <w:r w:rsidR="000F099B">
              <w:rPr>
                <w:noProof/>
                <w:webHidden/>
              </w:rPr>
              <w:fldChar w:fldCharType="separate"/>
            </w:r>
            <w:r w:rsidR="0098415C">
              <w:rPr>
                <w:noProof/>
                <w:webHidden/>
              </w:rPr>
              <w:t>22</w:t>
            </w:r>
            <w:r w:rsidR="000F099B">
              <w:rPr>
                <w:noProof/>
                <w:webHidden/>
              </w:rPr>
              <w:fldChar w:fldCharType="end"/>
            </w:r>
          </w:hyperlink>
        </w:p>
        <w:p w14:paraId="3156658A" w14:textId="77777777" w:rsidR="000F099B" w:rsidRDefault="0086223A" w:rsidP="000F099B">
          <w:pPr>
            <w:pStyle w:val="TDC1"/>
            <w:tabs>
              <w:tab w:val="left" w:pos="440"/>
              <w:tab w:val="right" w:leader="dot" w:pos="9628"/>
            </w:tabs>
            <w:rPr>
              <w:rFonts w:asciiTheme="minorHAnsi" w:hAnsiTheme="minorHAnsi" w:cstheme="minorBidi"/>
              <w:noProof/>
              <w:sz w:val="22"/>
              <w:szCs w:val="22"/>
              <w:lang w:val="es-CO" w:eastAsia="es-CO"/>
            </w:rPr>
          </w:pPr>
          <w:hyperlink w:anchor="_Toc528775208" w:history="1">
            <w:r w:rsidR="000F099B" w:rsidRPr="00424B32">
              <w:rPr>
                <w:rStyle w:val="Hipervnculo"/>
                <w:noProof/>
              </w:rPr>
              <w:t>7.</w:t>
            </w:r>
            <w:r w:rsidR="000F099B">
              <w:rPr>
                <w:rFonts w:asciiTheme="minorHAnsi" w:hAnsiTheme="minorHAnsi" w:cstheme="minorBidi"/>
                <w:noProof/>
                <w:sz w:val="22"/>
                <w:szCs w:val="22"/>
                <w:lang w:val="es-CO" w:eastAsia="es-CO"/>
              </w:rPr>
              <w:tab/>
            </w:r>
            <w:r w:rsidR="000F099B" w:rsidRPr="00424B32">
              <w:rPr>
                <w:rStyle w:val="Hipervnculo"/>
                <w:noProof/>
              </w:rPr>
              <w:t>ANEXOS</w:t>
            </w:r>
            <w:r w:rsidR="000F099B">
              <w:rPr>
                <w:noProof/>
                <w:webHidden/>
              </w:rPr>
              <w:tab/>
            </w:r>
            <w:r w:rsidR="000F099B">
              <w:rPr>
                <w:noProof/>
                <w:webHidden/>
              </w:rPr>
              <w:fldChar w:fldCharType="begin"/>
            </w:r>
            <w:r w:rsidR="000F099B">
              <w:rPr>
                <w:noProof/>
                <w:webHidden/>
              </w:rPr>
              <w:instrText xml:space="preserve"> PAGEREF _Toc528775208 \h </w:instrText>
            </w:r>
            <w:r w:rsidR="000F099B">
              <w:rPr>
                <w:noProof/>
                <w:webHidden/>
              </w:rPr>
            </w:r>
            <w:r w:rsidR="000F099B">
              <w:rPr>
                <w:noProof/>
                <w:webHidden/>
              </w:rPr>
              <w:fldChar w:fldCharType="separate"/>
            </w:r>
            <w:r w:rsidR="0098415C">
              <w:rPr>
                <w:noProof/>
                <w:webHidden/>
              </w:rPr>
              <w:t>24</w:t>
            </w:r>
            <w:r w:rsidR="000F099B">
              <w:rPr>
                <w:noProof/>
                <w:webHidden/>
              </w:rPr>
              <w:fldChar w:fldCharType="end"/>
            </w:r>
          </w:hyperlink>
        </w:p>
        <w:p w14:paraId="5A82324D" w14:textId="77777777" w:rsidR="000F099B" w:rsidRDefault="0086223A" w:rsidP="000F099B">
          <w:pPr>
            <w:pStyle w:val="TDC2"/>
            <w:tabs>
              <w:tab w:val="right" w:leader="dot" w:pos="9628"/>
            </w:tabs>
            <w:rPr>
              <w:noProof/>
              <w:lang w:val="es-CO" w:eastAsia="es-CO"/>
            </w:rPr>
          </w:pPr>
          <w:hyperlink w:anchor="_Toc528775209" w:history="1">
            <w:r w:rsidR="000F099B" w:rsidRPr="00424B32">
              <w:rPr>
                <w:rStyle w:val="Hipervnculo"/>
                <w:rFonts w:ascii="Open Sans" w:hAnsi="Open Sans" w:cs="Open Sans"/>
                <w:noProof/>
              </w:rPr>
              <w:t>ANEXO 1. DETALLE ANÁLISIS GAP CLAUSULAS MANDATORIAS ISO/IEC 27001:2013</w:t>
            </w:r>
            <w:r w:rsidR="000F099B">
              <w:rPr>
                <w:noProof/>
                <w:webHidden/>
              </w:rPr>
              <w:tab/>
            </w:r>
            <w:r w:rsidR="000F099B">
              <w:rPr>
                <w:noProof/>
                <w:webHidden/>
              </w:rPr>
              <w:fldChar w:fldCharType="begin"/>
            </w:r>
            <w:r w:rsidR="000F099B">
              <w:rPr>
                <w:noProof/>
                <w:webHidden/>
              </w:rPr>
              <w:instrText xml:space="preserve"> PAGEREF _Toc528775209 \h </w:instrText>
            </w:r>
            <w:r w:rsidR="000F099B">
              <w:rPr>
                <w:noProof/>
                <w:webHidden/>
              </w:rPr>
            </w:r>
            <w:r w:rsidR="000F099B">
              <w:rPr>
                <w:noProof/>
                <w:webHidden/>
              </w:rPr>
              <w:fldChar w:fldCharType="separate"/>
            </w:r>
            <w:r w:rsidR="0098415C">
              <w:rPr>
                <w:noProof/>
                <w:webHidden/>
              </w:rPr>
              <w:t>24</w:t>
            </w:r>
            <w:r w:rsidR="000F099B">
              <w:rPr>
                <w:noProof/>
                <w:webHidden/>
              </w:rPr>
              <w:fldChar w:fldCharType="end"/>
            </w:r>
          </w:hyperlink>
        </w:p>
        <w:p w14:paraId="4FD0A5A3" w14:textId="77777777" w:rsidR="000F099B" w:rsidRDefault="0086223A" w:rsidP="000F099B">
          <w:pPr>
            <w:pStyle w:val="TDC2"/>
            <w:tabs>
              <w:tab w:val="right" w:leader="dot" w:pos="9628"/>
            </w:tabs>
            <w:rPr>
              <w:noProof/>
              <w:lang w:val="es-CO" w:eastAsia="es-CO"/>
            </w:rPr>
          </w:pPr>
          <w:hyperlink w:anchor="_Toc528775210" w:history="1">
            <w:r w:rsidR="000F099B" w:rsidRPr="00424B32">
              <w:rPr>
                <w:rStyle w:val="Hipervnculo"/>
                <w:rFonts w:ascii="Open Sans" w:hAnsi="Open Sans" w:cs="Open Sans"/>
                <w:noProof/>
              </w:rPr>
              <w:t>ANEXO 2. DETALLE ANÁLISIS DE GAP REQUERIMIENTOS ANEXO A - ISO/IEC 27001:2013</w:t>
            </w:r>
            <w:r w:rsidR="000F099B">
              <w:rPr>
                <w:noProof/>
                <w:webHidden/>
              </w:rPr>
              <w:tab/>
            </w:r>
            <w:r w:rsidR="000F099B">
              <w:rPr>
                <w:noProof/>
                <w:webHidden/>
              </w:rPr>
              <w:fldChar w:fldCharType="begin"/>
            </w:r>
            <w:r w:rsidR="000F099B">
              <w:rPr>
                <w:noProof/>
                <w:webHidden/>
              </w:rPr>
              <w:instrText xml:space="preserve"> PAGEREF _Toc528775210 \h </w:instrText>
            </w:r>
            <w:r w:rsidR="000F099B">
              <w:rPr>
                <w:noProof/>
                <w:webHidden/>
              </w:rPr>
            </w:r>
            <w:r w:rsidR="000F099B">
              <w:rPr>
                <w:noProof/>
                <w:webHidden/>
              </w:rPr>
              <w:fldChar w:fldCharType="separate"/>
            </w:r>
            <w:r w:rsidR="0098415C">
              <w:rPr>
                <w:noProof/>
                <w:webHidden/>
              </w:rPr>
              <w:t>51</w:t>
            </w:r>
            <w:r w:rsidR="000F099B">
              <w:rPr>
                <w:noProof/>
                <w:webHidden/>
              </w:rPr>
              <w:fldChar w:fldCharType="end"/>
            </w:r>
          </w:hyperlink>
        </w:p>
        <w:p w14:paraId="126F4D1D" w14:textId="77777777" w:rsidR="000F099B" w:rsidRDefault="000F099B" w:rsidP="000F099B">
          <w:r w:rsidRPr="0019739C">
            <w:rPr>
              <w:b/>
              <w:bCs/>
              <w:sz w:val="20"/>
              <w:szCs w:val="20"/>
            </w:rPr>
            <w:fldChar w:fldCharType="end"/>
          </w:r>
        </w:p>
      </w:sdtContent>
    </w:sdt>
    <w:p w14:paraId="52EDFE6B" w14:textId="77777777" w:rsidR="000F099B" w:rsidRPr="00AE5229" w:rsidRDefault="000F099B" w:rsidP="000F099B">
      <w:pPr>
        <w:rPr>
          <w:rStyle w:val="Hipervnculo"/>
          <w:noProof/>
          <w:color w:val="000000" w:themeColor="text1"/>
        </w:rPr>
      </w:pPr>
    </w:p>
    <w:p w14:paraId="0F462125" w14:textId="77777777" w:rsidR="000F099B" w:rsidRPr="00AE5229" w:rsidRDefault="000F099B" w:rsidP="000F099B">
      <w:pPr>
        <w:rPr>
          <w:color w:val="000000" w:themeColor="text1"/>
        </w:rPr>
      </w:pPr>
    </w:p>
    <w:p w14:paraId="10724CDB" w14:textId="77777777" w:rsidR="000F099B" w:rsidRPr="00AE5229" w:rsidRDefault="000F099B" w:rsidP="000F099B">
      <w:pPr>
        <w:tabs>
          <w:tab w:val="left" w:pos="1164"/>
          <w:tab w:val="center" w:pos="4252"/>
        </w:tabs>
        <w:rPr>
          <w:color w:val="000000" w:themeColor="text1"/>
        </w:rPr>
      </w:pPr>
      <w:r w:rsidRPr="00AE5229">
        <w:rPr>
          <w:color w:val="000000" w:themeColor="text1"/>
        </w:rPr>
        <w:tab/>
      </w:r>
      <w:r w:rsidRPr="00AE5229">
        <w:rPr>
          <w:color w:val="000000" w:themeColor="text1"/>
        </w:rPr>
        <w:tab/>
      </w:r>
    </w:p>
    <w:p w14:paraId="0BFB1AD2" w14:textId="77777777" w:rsidR="000F099B" w:rsidRPr="00AE5229" w:rsidRDefault="000F099B" w:rsidP="000F099B">
      <w:pPr>
        <w:rPr>
          <w:color w:val="000000" w:themeColor="text1"/>
        </w:rPr>
      </w:pPr>
    </w:p>
    <w:p w14:paraId="3B4092AD" w14:textId="77777777" w:rsidR="000F099B" w:rsidRPr="00AE5229" w:rsidRDefault="000F099B" w:rsidP="000F099B">
      <w:pPr>
        <w:rPr>
          <w:color w:val="000000" w:themeColor="text1"/>
        </w:rPr>
      </w:pPr>
    </w:p>
    <w:p w14:paraId="3747CD04" w14:textId="77777777" w:rsidR="000F099B" w:rsidRPr="00AE5229" w:rsidRDefault="000F099B" w:rsidP="000F099B">
      <w:pPr>
        <w:rPr>
          <w:color w:val="000000" w:themeColor="text1"/>
        </w:rPr>
      </w:pPr>
    </w:p>
    <w:p w14:paraId="5890E7F2" w14:textId="77777777" w:rsidR="000F099B" w:rsidRDefault="000F099B" w:rsidP="000F099B">
      <w:pPr>
        <w:rPr>
          <w:caps/>
          <w:color w:val="000000" w:themeColor="text1"/>
        </w:rPr>
      </w:pPr>
      <w:r w:rsidRPr="00AE5229">
        <w:rPr>
          <w:caps/>
          <w:color w:val="000000" w:themeColor="text1"/>
        </w:rPr>
        <w:br w:type="page"/>
      </w:r>
    </w:p>
    <w:p w14:paraId="4A1F126B" w14:textId="77777777" w:rsidR="000F099B" w:rsidRDefault="000F099B" w:rsidP="000F099B">
      <w:pPr>
        <w:pStyle w:val="Sinespaciado"/>
      </w:pPr>
    </w:p>
    <w:p w14:paraId="2512751B" w14:textId="77777777" w:rsidR="000F099B" w:rsidRDefault="000F099B" w:rsidP="000F099B">
      <w:pPr>
        <w:pStyle w:val="Sinespaciado"/>
      </w:pPr>
    </w:p>
    <w:p w14:paraId="5023454E" w14:textId="77777777" w:rsidR="000F099B" w:rsidRPr="00C93D82" w:rsidRDefault="000F099B" w:rsidP="000F099B">
      <w:pPr>
        <w:pStyle w:val="Sinespaciado"/>
        <w:rPr>
          <w:rFonts w:ascii="Open Sans" w:hAnsi="Open Sans" w:cs="Open Sans"/>
          <w:b/>
        </w:rPr>
      </w:pPr>
      <w:r w:rsidRPr="00C93D82">
        <w:rPr>
          <w:rFonts w:ascii="Open Sans" w:hAnsi="Open Sans" w:cs="Open Sans"/>
          <w:b/>
        </w:rPr>
        <w:t xml:space="preserve">ÍNDICE DE TABLAS </w:t>
      </w:r>
    </w:p>
    <w:p w14:paraId="74269986" w14:textId="77777777" w:rsidR="000F099B" w:rsidRPr="005C5614" w:rsidRDefault="000F099B" w:rsidP="000F099B">
      <w:pPr>
        <w:pStyle w:val="Sinespaciado"/>
        <w:rPr>
          <w:rFonts w:ascii="Open Sans" w:hAnsi="Open Sans" w:cs="Open Sans"/>
        </w:rPr>
      </w:pPr>
    </w:p>
    <w:p w14:paraId="07DCA1DE" w14:textId="77777777" w:rsidR="000F099B" w:rsidRDefault="000F099B" w:rsidP="000F099B">
      <w:pPr>
        <w:pStyle w:val="Tabladeilustraciones"/>
        <w:tabs>
          <w:tab w:val="right" w:leader="dot" w:pos="9628"/>
        </w:tabs>
        <w:rPr>
          <w:rFonts w:eastAsiaTheme="minorEastAsia"/>
          <w:noProof/>
          <w:lang w:val="es-MX" w:eastAsia="es-MX"/>
        </w:rPr>
      </w:pPr>
      <w:r w:rsidRPr="005C5614">
        <w:rPr>
          <w:rFonts w:cs="Open Sans"/>
        </w:rPr>
        <w:fldChar w:fldCharType="begin"/>
      </w:r>
      <w:r w:rsidRPr="005C5614">
        <w:rPr>
          <w:rFonts w:cs="Open Sans"/>
        </w:rPr>
        <w:instrText xml:space="preserve"> TOC \h \z \c "Tabla" </w:instrText>
      </w:r>
      <w:r w:rsidRPr="005C5614">
        <w:rPr>
          <w:rFonts w:cs="Open Sans"/>
        </w:rPr>
        <w:fldChar w:fldCharType="separate"/>
      </w:r>
      <w:hyperlink w:anchor="_Toc528828145" w:history="1">
        <w:r w:rsidRPr="00A30A6A">
          <w:rPr>
            <w:rStyle w:val="Hipervnculo"/>
            <w:rFonts w:cs="Open Sans"/>
            <w:noProof/>
          </w:rPr>
          <w:t xml:space="preserve">Tabla 1.Equipo de trabajo </w:t>
        </w:r>
        <w:r>
          <w:rPr>
            <w:noProof/>
            <w:webHidden/>
          </w:rPr>
          <w:tab/>
        </w:r>
        <w:r>
          <w:rPr>
            <w:noProof/>
            <w:webHidden/>
          </w:rPr>
          <w:fldChar w:fldCharType="begin"/>
        </w:r>
        <w:r>
          <w:rPr>
            <w:noProof/>
            <w:webHidden/>
          </w:rPr>
          <w:instrText xml:space="preserve"> PAGEREF _Toc528828145 \h </w:instrText>
        </w:r>
        <w:r>
          <w:rPr>
            <w:noProof/>
            <w:webHidden/>
          </w:rPr>
        </w:r>
        <w:r>
          <w:rPr>
            <w:noProof/>
            <w:webHidden/>
          </w:rPr>
          <w:fldChar w:fldCharType="separate"/>
        </w:r>
        <w:r w:rsidR="0098415C">
          <w:rPr>
            <w:noProof/>
            <w:webHidden/>
          </w:rPr>
          <w:t>8</w:t>
        </w:r>
        <w:r>
          <w:rPr>
            <w:noProof/>
            <w:webHidden/>
          </w:rPr>
          <w:fldChar w:fldCharType="end"/>
        </w:r>
      </w:hyperlink>
    </w:p>
    <w:p w14:paraId="363A829D" w14:textId="77777777" w:rsidR="000F099B" w:rsidRDefault="0086223A" w:rsidP="000F099B">
      <w:pPr>
        <w:pStyle w:val="Tabladeilustraciones"/>
        <w:tabs>
          <w:tab w:val="right" w:leader="dot" w:pos="9628"/>
        </w:tabs>
        <w:rPr>
          <w:rFonts w:eastAsiaTheme="minorEastAsia"/>
          <w:noProof/>
          <w:lang w:val="es-MX" w:eastAsia="es-MX"/>
        </w:rPr>
      </w:pPr>
      <w:hyperlink w:anchor="_Toc528828146" w:history="1">
        <w:r w:rsidR="000F099B" w:rsidRPr="00A30A6A">
          <w:rPr>
            <w:rStyle w:val="Hipervnculo"/>
            <w:rFonts w:cs="Open Sans"/>
            <w:noProof/>
          </w:rPr>
          <w:t>Tabla 2. Equipo de Trabajo Instituto Nacional de Salud</w:t>
        </w:r>
        <w:r w:rsidR="000F099B">
          <w:rPr>
            <w:noProof/>
            <w:webHidden/>
          </w:rPr>
          <w:tab/>
        </w:r>
        <w:r w:rsidR="000F099B">
          <w:rPr>
            <w:noProof/>
            <w:webHidden/>
          </w:rPr>
          <w:fldChar w:fldCharType="begin"/>
        </w:r>
        <w:r w:rsidR="000F099B">
          <w:rPr>
            <w:noProof/>
            <w:webHidden/>
          </w:rPr>
          <w:instrText xml:space="preserve"> PAGEREF _Toc528828146 \h </w:instrText>
        </w:r>
        <w:r w:rsidR="000F099B">
          <w:rPr>
            <w:noProof/>
            <w:webHidden/>
          </w:rPr>
        </w:r>
        <w:r w:rsidR="000F099B">
          <w:rPr>
            <w:noProof/>
            <w:webHidden/>
          </w:rPr>
          <w:fldChar w:fldCharType="separate"/>
        </w:r>
        <w:r w:rsidR="0098415C">
          <w:rPr>
            <w:noProof/>
            <w:webHidden/>
          </w:rPr>
          <w:t>9</w:t>
        </w:r>
        <w:r w:rsidR="000F099B">
          <w:rPr>
            <w:noProof/>
            <w:webHidden/>
          </w:rPr>
          <w:fldChar w:fldCharType="end"/>
        </w:r>
      </w:hyperlink>
    </w:p>
    <w:p w14:paraId="7DB18704" w14:textId="77777777" w:rsidR="000F099B" w:rsidRDefault="0086223A" w:rsidP="000F099B">
      <w:pPr>
        <w:pStyle w:val="Tabladeilustraciones"/>
        <w:tabs>
          <w:tab w:val="right" w:leader="dot" w:pos="9628"/>
        </w:tabs>
        <w:rPr>
          <w:rFonts w:eastAsiaTheme="minorEastAsia"/>
          <w:noProof/>
          <w:lang w:val="es-MX" w:eastAsia="es-MX"/>
        </w:rPr>
      </w:pPr>
      <w:hyperlink w:anchor="_Toc528828147" w:history="1">
        <w:r w:rsidR="000F099B" w:rsidRPr="00A30A6A">
          <w:rPr>
            <w:rStyle w:val="Hipervnculo"/>
            <w:rFonts w:cs="Open Sans"/>
            <w:noProof/>
          </w:rPr>
          <w:t>Tabla 3.</w:t>
        </w:r>
        <w:r w:rsidR="000F099B" w:rsidRPr="00A30A6A">
          <w:rPr>
            <w:rStyle w:val="Hipervnculo"/>
            <w:noProof/>
          </w:rPr>
          <w:t xml:space="preserve"> </w:t>
        </w:r>
        <w:r w:rsidR="000F099B" w:rsidRPr="00A30A6A">
          <w:rPr>
            <w:rStyle w:val="Hipervnculo"/>
            <w:rFonts w:cs="Open Sans"/>
            <w:noProof/>
          </w:rPr>
          <w:t>Entrevistas de Contextualización y Levantamiento de Información en INS.</w:t>
        </w:r>
        <w:r w:rsidR="000F099B">
          <w:rPr>
            <w:noProof/>
            <w:webHidden/>
          </w:rPr>
          <w:tab/>
        </w:r>
        <w:r w:rsidR="000F099B">
          <w:rPr>
            <w:noProof/>
            <w:webHidden/>
          </w:rPr>
          <w:fldChar w:fldCharType="begin"/>
        </w:r>
        <w:r w:rsidR="000F099B">
          <w:rPr>
            <w:noProof/>
            <w:webHidden/>
          </w:rPr>
          <w:instrText xml:space="preserve"> PAGEREF _Toc528828147 \h </w:instrText>
        </w:r>
        <w:r w:rsidR="000F099B">
          <w:rPr>
            <w:noProof/>
            <w:webHidden/>
          </w:rPr>
        </w:r>
        <w:r w:rsidR="000F099B">
          <w:rPr>
            <w:noProof/>
            <w:webHidden/>
          </w:rPr>
          <w:fldChar w:fldCharType="separate"/>
        </w:r>
        <w:r w:rsidR="0098415C">
          <w:rPr>
            <w:noProof/>
            <w:webHidden/>
          </w:rPr>
          <w:t>10</w:t>
        </w:r>
        <w:r w:rsidR="000F099B">
          <w:rPr>
            <w:noProof/>
            <w:webHidden/>
          </w:rPr>
          <w:fldChar w:fldCharType="end"/>
        </w:r>
      </w:hyperlink>
    </w:p>
    <w:p w14:paraId="1E959752" w14:textId="77777777" w:rsidR="000F099B" w:rsidRDefault="0086223A" w:rsidP="000F099B">
      <w:pPr>
        <w:pStyle w:val="Tabladeilustraciones"/>
        <w:tabs>
          <w:tab w:val="right" w:leader="dot" w:pos="9628"/>
        </w:tabs>
        <w:rPr>
          <w:rFonts w:eastAsiaTheme="minorEastAsia"/>
          <w:noProof/>
          <w:lang w:val="es-MX" w:eastAsia="es-MX"/>
        </w:rPr>
      </w:pPr>
      <w:hyperlink w:anchor="_Toc528828148" w:history="1">
        <w:r w:rsidR="000F099B" w:rsidRPr="00A30A6A">
          <w:rPr>
            <w:rStyle w:val="Hipervnculo"/>
            <w:rFonts w:cs="Open Sans"/>
            <w:noProof/>
          </w:rPr>
          <w:t>Tabla 4. Escala de Valoración del Cumplimiento</w:t>
        </w:r>
        <w:r w:rsidR="000F099B">
          <w:rPr>
            <w:noProof/>
            <w:webHidden/>
          </w:rPr>
          <w:tab/>
        </w:r>
        <w:r w:rsidR="000F099B">
          <w:rPr>
            <w:noProof/>
            <w:webHidden/>
          </w:rPr>
          <w:fldChar w:fldCharType="begin"/>
        </w:r>
        <w:r w:rsidR="000F099B">
          <w:rPr>
            <w:noProof/>
            <w:webHidden/>
          </w:rPr>
          <w:instrText xml:space="preserve"> PAGEREF _Toc528828148 \h </w:instrText>
        </w:r>
        <w:r w:rsidR="000F099B">
          <w:rPr>
            <w:noProof/>
            <w:webHidden/>
          </w:rPr>
        </w:r>
        <w:r w:rsidR="000F099B">
          <w:rPr>
            <w:noProof/>
            <w:webHidden/>
          </w:rPr>
          <w:fldChar w:fldCharType="separate"/>
        </w:r>
        <w:r w:rsidR="0098415C">
          <w:rPr>
            <w:noProof/>
            <w:webHidden/>
          </w:rPr>
          <w:t>10</w:t>
        </w:r>
        <w:r w:rsidR="000F099B">
          <w:rPr>
            <w:noProof/>
            <w:webHidden/>
          </w:rPr>
          <w:fldChar w:fldCharType="end"/>
        </w:r>
      </w:hyperlink>
    </w:p>
    <w:p w14:paraId="6BDAE9CC" w14:textId="77777777" w:rsidR="000F099B" w:rsidRDefault="0086223A" w:rsidP="000F099B">
      <w:pPr>
        <w:pStyle w:val="Tabladeilustraciones"/>
        <w:tabs>
          <w:tab w:val="right" w:leader="dot" w:pos="9628"/>
        </w:tabs>
        <w:rPr>
          <w:rFonts w:eastAsiaTheme="minorEastAsia"/>
          <w:noProof/>
          <w:lang w:val="es-MX" w:eastAsia="es-MX"/>
        </w:rPr>
      </w:pPr>
      <w:hyperlink w:anchor="_Toc528828149" w:history="1">
        <w:r w:rsidR="000F099B" w:rsidRPr="00A30A6A">
          <w:rPr>
            <w:rStyle w:val="Hipervnculo"/>
            <w:rFonts w:cs="Open Sans"/>
            <w:noProof/>
          </w:rPr>
          <w:t>Tabla 5. Escala de Valoración del Nivel de Madurez del MPSI de MINTIC</w:t>
        </w:r>
        <w:r w:rsidR="000F099B">
          <w:rPr>
            <w:noProof/>
            <w:webHidden/>
          </w:rPr>
          <w:tab/>
        </w:r>
        <w:r w:rsidR="000F099B">
          <w:rPr>
            <w:noProof/>
            <w:webHidden/>
          </w:rPr>
          <w:fldChar w:fldCharType="begin"/>
        </w:r>
        <w:r w:rsidR="000F099B">
          <w:rPr>
            <w:noProof/>
            <w:webHidden/>
          </w:rPr>
          <w:instrText xml:space="preserve"> PAGEREF _Toc528828149 \h </w:instrText>
        </w:r>
        <w:r w:rsidR="000F099B">
          <w:rPr>
            <w:noProof/>
            <w:webHidden/>
          </w:rPr>
        </w:r>
        <w:r w:rsidR="000F099B">
          <w:rPr>
            <w:noProof/>
            <w:webHidden/>
          </w:rPr>
          <w:fldChar w:fldCharType="separate"/>
        </w:r>
        <w:r w:rsidR="0098415C">
          <w:rPr>
            <w:noProof/>
            <w:webHidden/>
          </w:rPr>
          <w:t>13</w:t>
        </w:r>
        <w:r w:rsidR="000F099B">
          <w:rPr>
            <w:noProof/>
            <w:webHidden/>
          </w:rPr>
          <w:fldChar w:fldCharType="end"/>
        </w:r>
      </w:hyperlink>
    </w:p>
    <w:p w14:paraId="48481C1D" w14:textId="77777777" w:rsidR="000F099B" w:rsidRDefault="0086223A" w:rsidP="000F099B">
      <w:pPr>
        <w:pStyle w:val="Tabladeilustraciones"/>
        <w:tabs>
          <w:tab w:val="right" w:leader="dot" w:pos="9628"/>
        </w:tabs>
        <w:rPr>
          <w:rFonts w:eastAsiaTheme="minorEastAsia"/>
          <w:noProof/>
          <w:lang w:val="es-MX" w:eastAsia="es-MX"/>
        </w:rPr>
      </w:pPr>
      <w:hyperlink w:anchor="_Toc528828150" w:history="1">
        <w:r w:rsidR="000F099B" w:rsidRPr="00A30A6A">
          <w:rPr>
            <w:rStyle w:val="Hipervnculo"/>
            <w:rFonts w:cs="Open Sans"/>
            <w:noProof/>
          </w:rPr>
          <w:t>Tabla 6. Detalle del Nivel de Madurez de Clausulas ISO/IEC 27001 Instituto Nacional de Salud</w:t>
        </w:r>
        <w:r w:rsidR="000F099B">
          <w:rPr>
            <w:noProof/>
            <w:webHidden/>
          </w:rPr>
          <w:tab/>
        </w:r>
        <w:r w:rsidR="000F099B">
          <w:rPr>
            <w:noProof/>
            <w:webHidden/>
          </w:rPr>
          <w:fldChar w:fldCharType="begin"/>
        </w:r>
        <w:r w:rsidR="000F099B">
          <w:rPr>
            <w:noProof/>
            <w:webHidden/>
          </w:rPr>
          <w:instrText xml:space="preserve"> PAGEREF _Toc528828150 \h </w:instrText>
        </w:r>
        <w:r w:rsidR="000F099B">
          <w:rPr>
            <w:noProof/>
            <w:webHidden/>
          </w:rPr>
        </w:r>
        <w:r w:rsidR="000F099B">
          <w:rPr>
            <w:noProof/>
            <w:webHidden/>
          </w:rPr>
          <w:fldChar w:fldCharType="separate"/>
        </w:r>
        <w:r w:rsidR="0098415C">
          <w:rPr>
            <w:noProof/>
            <w:webHidden/>
          </w:rPr>
          <w:t>15</w:t>
        </w:r>
        <w:r w:rsidR="000F099B">
          <w:rPr>
            <w:noProof/>
            <w:webHidden/>
          </w:rPr>
          <w:fldChar w:fldCharType="end"/>
        </w:r>
      </w:hyperlink>
    </w:p>
    <w:p w14:paraId="116B58AF" w14:textId="77777777" w:rsidR="000F099B" w:rsidRDefault="0086223A" w:rsidP="000F099B">
      <w:pPr>
        <w:pStyle w:val="Tabladeilustraciones"/>
        <w:tabs>
          <w:tab w:val="right" w:leader="dot" w:pos="9628"/>
        </w:tabs>
        <w:rPr>
          <w:rFonts w:eastAsiaTheme="minorEastAsia"/>
          <w:noProof/>
          <w:lang w:val="es-MX" w:eastAsia="es-MX"/>
        </w:rPr>
      </w:pPr>
      <w:hyperlink w:anchor="_Toc528828151" w:history="1">
        <w:r w:rsidR="000F099B" w:rsidRPr="00A30A6A">
          <w:rPr>
            <w:rStyle w:val="Hipervnculo"/>
            <w:rFonts w:cs="Open Sans"/>
            <w:noProof/>
          </w:rPr>
          <w:t>Tabla 7. Detalle del Nivel de Madurez del Anexo A ISO/IEC 27001</w:t>
        </w:r>
        <w:r w:rsidR="000F099B">
          <w:rPr>
            <w:noProof/>
            <w:webHidden/>
          </w:rPr>
          <w:tab/>
        </w:r>
        <w:r w:rsidR="000F099B">
          <w:rPr>
            <w:noProof/>
            <w:webHidden/>
          </w:rPr>
          <w:fldChar w:fldCharType="begin"/>
        </w:r>
        <w:r w:rsidR="000F099B">
          <w:rPr>
            <w:noProof/>
            <w:webHidden/>
          </w:rPr>
          <w:instrText xml:space="preserve"> PAGEREF _Toc528828151 \h </w:instrText>
        </w:r>
        <w:r w:rsidR="000F099B">
          <w:rPr>
            <w:noProof/>
            <w:webHidden/>
          </w:rPr>
        </w:r>
        <w:r w:rsidR="000F099B">
          <w:rPr>
            <w:noProof/>
            <w:webHidden/>
          </w:rPr>
          <w:fldChar w:fldCharType="separate"/>
        </w:r>
        <w:r w:rsidR="0098415C">
          <w:rPr>
            <w:noProof/>
            <w:webHidden/>
          </w:rPr>
          <w:t>19</w:t>
        </w:r>
        <w:r w:rsidR="000F099B">
          <w:rPr>
            <w:noProof/>
            <w:webHidden/>
          </w:rPr>
          <w:fldChar w:fldCharType="end"/>
        </w:r>
      </w:hyperlink>
    </w:p>
    <w:p w14:paraId="5E35E460" w14:textId="77777777" w:rsidR="000F099B" w:rsidRDefault="000F099B" w:rsidP="000F099B">
      <w:pPr>
        <w:pStyle w:val="Sinespaciado"/>
        <w:rPr>
          <w:rFonts w:ascii="Open Sans" w:hAnsi="Open Sans" w:cs="Open Sans"/>
        </w:rPr>
      </w:pPr>
      <w:r w:rsidRPr="005C5614">
        <w:rPr>
          <w:rFonts w:ascii="Open Sans" w:hAnsi="Open Sans" w:cs="Open Sans"/>
        </w:rPr>
        <w:fldChar w:fldCharType="end"/>
      </w:r>
    </w:p>
    <w:p w14:paraId="5487168F" w14:textId="77777777" w:rsidR="000F099B" w:rsidRDefault="000F099B" w:rsidP="000F099B">
      <w:pPr>
        <w:pStyle w:val="Sinespaciado"/>
        <w:rPr>
          <w:rFonts w:ascii="Open Sans" w:hAnsi="Open Sans" w:cs="Open Sans"/>
        </w:rPr>
      </w:pPr>
    </w:p>
    <w:p w14:paraId="5D794410" w14:textId="77777777" w:rsidR="000F099B" w:rsidRDefault="000F099B" w:rsidP="000F099B">
      <w:pPr>
        <w:pStyle w:val="Sinespaciado"/>
        <w:rPr>
          <w:rFonts w:ascii="Open Sans" w:hAnsi="Open Sans" w:cs="Open Sans"/>
        </w:rPr>
      </w:pPr>
    </w:p>
    <w:p w14:paraId="10350B08" w14:textId="77777777" w:rsidR="000F099B" w:rsidRDefault="000F099B" w:rsidP="000F099B">
      <w:pPr>
        <w:pStyle w:val="Sinespaciado"/>
        <w:rPr>
          <w:rFonts w:ascii="Open Sans" w:hAnsi="Open Sans" w:cs="Open Sans"/>
        </w:rPr>
      </w:pPr>
    </w:p>
    <w:p w14:paraId="5DF4F6FD" w14:textId="77777777" w:rsidR="000F099B" w:rsidRDefault="000F099B" w:rsidP="000F099B">
      <w:pPr>
        <w:pStyle w:val="Sinespaciado"/>
        <w:rPr>
          <w:rFonts w:ascii="Open Sans" w:hAnsi="Open Sans" w:cs="Open Sans"/>
        </w:rPr>
      </w:pPr>
    </w:p>
    <w:p w14:paraId="19B433E2" w14:textId="77777777" w:rsidR="000F099B" w:rsidRPr="00C93D82" w:rsidRDefault="000F099B" w:rsidP="000F099B">
      <w:pPr>
        <w:pStyle w:val="Sinespaciado"/>
        <w:rPr>
          <w:rFonts w:ascii="Open Sans" w:hAnsi="Open Sans" w:cs="Open Sans"/>
          <w:b/>
        </w:rPr>
      </w:pPr>
      <w:r w:rsidRPr="00C93D82">
        <w:rPr>
          <w:rFonts w:ascii="Open Sans" w:hAnsi="Open Sans" w:cs="Open Sans"/>
          <w:b/>
        </w:rPr>
        <w:t xml:space="preserve">ÍNDICE DE ILUSTRACIONES </w:t>
      </w:r>
    </w:p>
    <w:p w14:paraId="31373520" w14:textId="77777777" w:rsidR="000F099B" w:rsidRDefault="000F099B" w:rsidP="000F099B">
      <w:pPr>
        <w:pStyle w:val="Sinespaciado"/>
      </w:pPr>
    </w:p>
    <w:p w14:paraId="2DFDE62A" w14:textId="77777777" w:rsidR="000F099B" w:rsidRDefault="000F099B" w:rsidP="000F099B">
      <w:pPr>
        <w:pStyle w:val="Tabladeilustraciones"/>
        <w:tabs>
          <w:tab w:val="right" w:leader="dot" w:pos="9628"/>
        </w:tabs>
        <w:rPr>
          <w:rFonts w:eastAsiaTheme="minorEastAsia"/>
          <w:noProof/>
          <w:lang w:val="es-MX" w:eastAsia="es-MX"/>
        </w:rPr>
      </w:pPr>
      <w:r>
        <w:fldChar w:fldCharType="begin"/>
      </w:r>
      <w:r>
        <w:instrText xml:space="preserve"> TOC \h \z \c "Ilustración" </w:instrText>
      </w:r>
      <w:r>
        <w:fldChar w:fldCharType="separate"/>
      </w:r>
      <w:hyperlink w:anchor="_Toc528828152" w:history="1">
        <w:r w:rsidRPr="0072231F">
          <w:rPr>
            <w:rStyle w:val="Hipervnculo"/>
            <w:rFonts w:cs="Open Sans"/>
            <w:noProof/>
          </w:rPr>
          <w:t>Ilustración 1. Niveles de Madurez del MPSI de MINTIC</w:t>
        </w:r>
        <w:r>
          <w:rPr>
            <w:noProof/>
            <w:webHidden/>
          </w:rPr>
          <w:tab/>
        </w:r>
        <w:r>
          <w:rPr>
            <w:noProof/>
            <w:webHidden/>
          </w:rPr>
          <w:fldChar w:fldCharType="begin"/>
        </w:r>
        <w:r>
          <w:rPr>
            <w:noProof/>
            <w:webHidden/>
          </w:rPr>
          <w:instrText xml:space="preserve"> PAGEREF _Toc528828152 \h </w:instrText>
        </w:r>
        <w:r>
          <w:rPr>
            <w:noProof/>
            <w:webHidden/>
          </w:rPr>
        </w:r>
        <w:r>
          <w:rPr>
            <w:noProof/>
            <w:webHidden/>
          </w:rPr>
          <w:fldChar w:fldCharType="separate"/>
        </w:r>
        <w:r w:rsidR="0098415C">
          <w:rPr>
            <w:noProof/>
            <w:webHidden/>
          </w:rPr>
          <w:t>11</w:t>
        </w:r>
        <w:r>
          <w:rPr>
            <w:noProof/>
            <w:webHidden/>
          </w:rPr>
          <w:fldChar w:fldCharType="end"/>
        </w:r>
      </w:hyperlink>
    </w:p>
    <w:p w14:paraId="0073B56C" w14:textId="77777777" w:rsidR="000F099B" w:rsidRDefault="0086223A" w:rsidP="000F099B">
      <w:pPr>
        <w:pStyle w:val="Tabladeilustraciones"/>
        <w:tabs>
          <w:tab w:val="right" w:leader="dot" w:pos="9628"/>
        </w:tabs>
        <w:rPr>
          <w:rFonts w:eastAsiaTheme="minorEastAsia"/>
          <w:noProof/>
          <w:lang w:val="es-MX" w:eastAsia="es-MX"/>
        </w:rPr>
      </w:pPr>
      <w:hyperlink w:anchor="_Toc528828153" w:history="1">
        <w:r w:rsidR="000F099B" w:rsidRPr="0072231F">
          <w:rPr>
            <w:rStyle w:val="Hipervnculo"/>
            <w:rFonts w:cs="Open Sans"/>
            <w:noProof/>
          </w:rPr>
          <w:t>Ilustración 2. Resumen de cumplimiento de cláusulas ISO 27001:2013</w:t>
        </w:r>
        <w:r w:rsidR="000F099B">
          <w:rPr>
            <w:noProof/>
            <w:webHidden/>
          </w:rPr>
          <w:tab/>
        </w:r>
        <w:r w:rsidR="000F099B">
          <w:rPr>
            <w:noProof/>
            <w:webHidden/>
          </w:rPr>
          <w:fldChar w:fldCharType="begin"/>
        </w:r>
        <w:r w:rsidR="000F099B">
          <w:rPr>
            <w:noProof/>
            <w:webHidden/>
          </w:rPr>
          <w:instrText xml:space="preserve"> PAGEREF _Toc528828153 \h </w:instrText>
        </w:r>
        <w:r w:rsidR="000F099B">
          <w:rPr>
            <w:noProof/>
            <w:webHidden/>
          </w:rPr>
        </w:r>
        <w:r w:rsidR="000F099B">
          <w:rPr>
            <w:noProof/>
            <w:webHidden/>
          </w:rPr>
          <w:fldChar w:fldCharType="separate"/>
        </w:r>
        <w:r w:rsidR="0098415C">
          <w:rPr>
            <w:noProof/>
            <w:webHidden/>
          </w:rPr>
          <w:t>14</w:t>
        </w:r>
        <w:r w:rsidR="000F099B">
          <w:rPr>
            <w:noProof/>
            <w:webHidden/>
          </w:rPr>
          <w:fldChar w:fldCharType="end"/>
        </w:r>
      </w:hyperlink>
    </w:p>
    <w:p w14:paraId="7203B3BE" w14:textId="77777777" w:rsidR="000F099B" w:rsidRDefault="0086223A" w:rsidP="000F099B">
      <w:pPr>
        <w:pStyle w:val="Tabladeilustraciones"/>
        <w:tabs>
          <w:tab w:val="right" w:leader="dot" w:pos="9628"/>
        </w:tabs>
        <w:rPr>
          <w:rFonts w:eastAsiaTheme="minorEastAsia"/>
          <w:noProof/>
          <w:lang w:val="es-MX" w:eastAsia="es-MX"/>
        </w:rPr>
      </w:pPr>
      <w:hyperlink w:anchor="_Toc528828154" w:history="1">
        <w:r w:rsidR="000F099B" w:rsidRPr="0072231F">
          <w:rPr>
            <w:rStyle w:val="Hipervnculo"/>
            <w:rFonts w:cs="Open Sans"/>
            <w:noProof/>
          </w:rPr>
          <w:t>Ilustración 3. Cumplimiento de cláusulas mandatarias ISO 27001:2013</w:t>
        </w:r>
        <w:r w:rsidR="000F099B">
          <w:rPr>
            <w:noProof/>
            <w:webHidden/>
          </w:rPr>
          <w:tab/>
        </w:r>
        <w:r w:rsidR="000F099B">
          <w:rPr>
            <w:noProof/>
            <w:webHidden/>
          </w:rPr>
          <w:fldChar w:fldCharType="begin"/>
        </w:r>
        <w:r w:rsidR="000F099B">
          <w:rPr>
            <w:noProof/>
            <w:webHidden/>
          </w:rPr>
          <w:instrText xml:space="preserve"> PAGEREF _Toc528828154 \h </w:instrText>
        </w:r>
        <w:r w:rsidR="000F099B">
          <w:rPr>
            <w:noProof/>
            <w:webHidden/>
          </w:rPr>
        </w:r>
        <w:r w:rsidR="000F099B">
          <w:rPr>
            <w:noProof/>
            <w:webHidden/>
          </w:rPr>
          <w:fldChar w:fldCharType="separate"/>
        </w:r>
        <w:r w:rsidR="0098415C">
          <w:rPr>
            <w:noProof/>
            <w:webHidden/>
          </w:rPr>
          <w:t>15</w:t>
        </w:r>
        <w:r w:rsidR="000F099B">
          <w:rPr>
            <w:noProof/>
            <w:webHidden/>
          </w:rPr>
          <w:fldChar w:fldCharType="end"/>
        </w:r>
      </w:hyperlink>
    </w:p>
    <w:p w14:paraId="1313731E" w14:textId="77777777" w:rsidR="000F099B" w:rsidRDefault="0086223A" w:rsidP="000F099B">
      <w:pPr>
        <w:pStyle w:val="Tabladeilustraciones"/>
        <w:tabs>
          <w:tab w:val="right" w:leader="dot" w:pos="9628"/>
        </w:tabs>
        <w:rPr>
          <w:rFonts w:eastAsiaTheme="minorEastAsia"/>
          <w:noProof/>
          <w:lang w:val="es-MX" w:eastAsia="es-MX"/>
        </w:rPr>
      </w:pPr>
      <w:hyperlink w:anchor="_Toc528828155" w:history="1">
        <w:r w:rsidR="000F099B" w:rsidRPr="0072231F">
          <w:rPr>
            <w:rStyle w:val="Hipervnculo"/>
            <w:rFonts w:cs="Open Sans"/>
            <w:noProof/>
          </w:rPr>
          <w:t>Ilustración 4. Nivel de Madurez ISO/IEC 27001 en el Instituto Nacional de Salud</w:t>
        </w:r>
        <w:r w:rsidR="000F099B">
          <w:rPr>
            <w:noProof/>
            <w:webHidden/>
          </w:rPr>
          <w:tab/>
        </w:r>
        <w:r w:rsidR="000F099B">
          <w:rPr>
            <w:noProof/>
            <w:webHidden/>
          </w:rPr>
          <w:fldChar w:fldCharType="begin"/>
        </w:r>
        <w:r w:rsidR="000F099B">
          <w:rPr>
            <w:noProof/>
            <w:webHidden/>
          </w:rPr>
          <w:instrText xml:space="preserve"> PAGEREF _Toc528828155 \h </w:instrText>
        </w:r>
        <w:r w:rsidR="000F099B">
          <w:rPr>
            <w:noProof/>
            <w:webHidden/>
          </w:rPr>
        </w:r>
        <w:r w:rsidR="000F099B">
          <w:rPr>
            <w:noProof/>
            <w:webHidden/>
          </w:rPr>
          <w:fldChar w:fldCharType="separate"/>
        </w:r>
        <w:r w:rsidR="0098415C">
          <w:rPr>
            <w:noProof/>
            <w:webHidden/>
          </w:rPr>
          <w:t>16</w:t>
        </w:r>
        <w:r w:rsidR="000F099B">
          <w:rPr>
            <w:noProof/>
            <w:webHidden/>
          </w:rPr>
          <w:fldChar w:fldCharType="end"/>
        </w:r>
      </w:hyperlink>
    </w:p>
    <w:p w14:paraId="6C3404E9" w14:textId="77777777" w:rsidR="000F099B" w:rsidRDefault="0086223A" w:rsidP="000F099B">
      <w:pPr>
        <w:pStyle w:val="Tabladeilustraciones"/>
        <w:tabs>
          <w:tab w:val="right" w:leader="dot" w:pos="9628"/>
        </w:tabs>
        <w:rPr>
          <w:rFonts w:eastAsiaTheme="minorEastAsia"/>
          <w:noProof/>
          <w:lang w:val="es-MX" w:eastAsia="es-MX"/>
        </w:rPr>
      </w:pPr>
      <w:hyperlink w:anchor="_Toc528828156" w:history="1">
        <w:r w:rsidR="000F099B" w:rsidRPr="0072231F">
          <w:rPr>
            <w:rStyle w:val="Hipervnculo"/>
            <w:rFonts w:cs="Open Sans"/>
            <w:noProof/>
          </w:rPr>
          <w:t>Ilustración 5. Estado actual de cumplimiento del Anexo A - ISO 27001:2015</w:t>
        </w:r>
        <w:r w:rsidR="000F099B">
          <w:rPr>
            <w:noProof/>
            <w:webHidden/>
          </w:rPr>
          <w:tab/>
        </w:r>
        <w:r w:rsidR="000F099B">
          <w:rPr>
            <w:noProof/>
            <w:webHidden/>
          </w:rPr>
          <w:fldChar w:fldCharType="begin"/>
        </w:r>
        <w:r w:rsidR="000F099B">
          <w:rPr>
            <w:noProof/>
            <w:webHidden/>
          </w:rPr>
          <w:instrText xml:space="preserve"> PAGEREF _Toc528828156 \h </w:instrText>
        </w:r>
        <w:r w:rsidR="000F099B">
          <w:rPr>
            <w:noProof/>
            <w:webHidden/>
          </w:rPr>
        </w:r>
        <w:r w:rsidR="000F099B">
          <w:rPr>
            <w:noProof/>
            <w:webHidden/>
          </w:rPr>
          <w:fldChar w:fldCharType="separate"/>
        </w:r>
        <w:r w:rsidR="0098415C">
          <w:rPr>
            <w:noProof/>
            <w:webHidden/>
          </w:rPr>
          <w:t>17</w:t>
        </w:r>
        <w:r w:rsidR="000F099B">
          <w:rPr>
            <w:noProof/>
            <w:webHidden/>
          </w:rPr>
          <w:fldChar w:fldCharType="end"/>
        </w:r>
      </w:hyperlink>
    </w:p>
    <w:p w14:paraId="22AD55A2" w14:textId="77777777" w:rsidR="000F099B" w:rsidRDefault="0086223A" w:rsidP="000F099B">
      <w:pPr>
        <w:pStyle w:val="Tabladeilustraciones"/>
        <w:tabs>
          <w:tab w:val="right" w:leader="dot" w:pos="9628"/>
        </w:tabs>
        <w:rPr>
          <w:rFonts w:eastAsiaTheme="minorEastAsia"/>
          <w:noProof/>
          <w:lang w:val="es-MX" w:eastAsia="es-MX"/>
        </w:rPr>
      </w:pPr>
      <w:hyperlink w:anchor="_Toc528828157" w:history="1">
        <w:r w:rsidR="000F099B" w:rsidRPr="0072231F">
          <w:rPr>
            <w:rStyle w:val="Hipervnculo"/>
            <w:rFonts w:cs="Open Sans"/>
            <w:noProof/>
          </w:rPr>
          <w:t>Ilustración 6. Estado actual de cumplimiento de los objetivos de control del Anexo A - ISO 27001:2015</w:t>
        </w:r>
        <w:r w:rsidR="000F099B">
          <w:rPr>
            <w:noProof/>
            <w:webHidden/>
          </w:rPr>
          <w:tab/>
        </w:r>
        <w:r w:rsidR="000F099B">
          <w:rPr>
            <w:noProof/>
            <w:webHidden/>
          </w:rPr>
          <w:fldChar w:fldCharType="begin"/>
        </w:r>
        <w:r w:rsidR="000F099B">
          <w:rPr>
            <w:noProof/>
            <w:webHidden/>
          </w:rPr>
          <w:instrText xml:space="preserve"> PAGEREF _Toc528828157 \h </w:instrText>
        </w:r>
        <w:r w:rsidR="000F099B">
          <w:rPr>
            <w:noProof/>
            <w:webHidden/>
          </w:rPr>
        </w:r>
        <w:r w:rsidR="000F099B">
          <w:rPr>
            <w:noProof/>
            <w:webHidden/>
          </w:rPr>
          <w:fldChar w:fldCharType="separate"/>
        </w:r>
        <w:r w:rsidR="0098415C">
          <w:rPr>
            <w:noProof/>
            <w:webHidden/>
          </w:rPr>
          <w:t>18</w:t>
        </w:r>
        <w:r w:rsidR="000F099B">
          <w:rPr>
            <w:noProof/>
            <w:webHidden/>
          </w:rPr>
          <w:fldChar w:fldCharType="end"/>
        </w:r>
      </w:hyperlink>
    </w:p>
    <w:p w14:paraId="6EBAEC69" w14:textId="77777777" w:rsidR="000F099B" w:rsidRDefault="000F099B" w:rsidP="000F099B">
      <w:pPr>
        <w:pStyle w:val="Sinespaciado"/>
      </w:pPr>
      <w:r>
        <w:fldChar w:fldCharType="end"/>
      </w:r>
    </w:p>
    <w:p w14:paraId="140C59B4" w14:textId="77777777" w:rsidR="000F099B" w:rsidRDefault="000F099B" w:rsidP="000F099B">
      <w:pPr>
        <w:pStyle w:val="Sinespaciado"/>
      </w:pPr>
    </w:p>
    <w:p w14:paraId="38DA150C" w14:textId="77777777" w:rsidR="000F099B" w:rsidRDefault="000F099B" w:rsidP="000F099B">
      <w:pPr>
        <w:pStyle w:val="Sinespaciado"/>
      </w:pPr>
    </w:p>
    <w:p w14:paraId="21665237" w14:textId="77777777" w:rsidR="000F099B" w:rsidRDefault="000F099B" w:rsidP="000F099B">
      <w:pPr>
        <w:pStyle w:val="Sinespaciado"/>
      </w:pPr>
    </w:p>
    <w:p w14:paraId="6D6CCE30" w14:textId="77777777" w:rsidR="000F099B" w:rsidRPr="00AE5229" w:rsidRDefault="000F099B" w:rsidP="000F099B">
      <w:pPr>
        <w:jc w:val="center"/>
        <w:rPr>
          <w:color w:val="000000" w:themeColor="text1"/>
        </w:rPr>
      </w:pPr>
    </w:p>
    <w:p w14:paraId="022EE8D9" w14:textId="77777777" w:rsidR="000F099B" w:rsidRPr="00AE5229" w:rsidRDefault="000F099B" w:rsidP="000F099B">
      <w:pPr>
        <w:rPr>
          <w:color w:val="000000" w:themeColor="text1"/>
        </w:rPr>
      </w:pPr>
    </w:p>
    <w:p w14:paraId="5CA78567" w14:textId="77777777" w:rsidR="000F099B" w:rsidRPr="00AE5229" w:rsidRDefault="000F099B" w:rsidP="000F099B">
      <w:pPr>
        <w:rPr>
          <w:rFonts w:ascii="Open Sans" w:eastAsia="Times New Roman" w:hAnsi="Open Sans" w:cs="Open Sans"/>
          <w:b/>
          <w:bCs/>
          <w:caps/>
          <w:color w:val="000000" w:themeColor="text1"/>
          <w:sz w:val="32"/>
          <w:szCs w:val="24"/>
          <w:lang w:val="es-CO" w:eastAsia="es-ES"/>
        </w:rPr>
      </w:pPr>
      <w:r w:rsidRPr="00AE5229">
        <w:rPr>
          <w:rFonts w:ascii="Open Sans" w:hAnsi="Open Sans" w:cs="Open Sans"/>
          <w:color w:val="000000" w:themeColor="text1"/>
          <w:sz w:val="32"/>
          <w:szCs w:val="24"/>
          <w:lang w:val="es-CO"/>
        </w:rPr>
        <w:br w:type="page"/>
      </w:r>
    </w:p>
    <w:p w14:paraId="21B59F95" w14:textId="77777777" w:rsidR="000F099B" w:rsidRPr="001279DF" w:rsidRDefault="000F099B" w:rsidP="000F099B">
      <w:pPr>
        <w:pStyle w:val="Sinespaciado"/>
      </w:pPr>
    </w:p>
    <w:p w14:paraId="4FB7D578" w14:textId="77777777" w:rsidR="000F099B" w:rsidRDefault="000F099B" w:rsidP="00187127">
      <w:pPr>
        <w:pStyle w:val="Ttulo1"/>
        <w:keepNext/>
        <w:keepLines/>
        <w:widowControl/>
        <w:numPr>
          <w:ilvl w:val="0"/>
          <w:numId w:val="7"/>
        </w:numPr>
        <w:autoSpaceDE/>
        <w:autoSpaceDN/>
        <w:spacing w:before="320" w:after="40"/>
        <w:ind w:left="426"/>
        <w:jc w:val="both"/>
        <w:rPr>
          <w:rFonts w:ascii="Open Sans" w:hAnsi="Open Sans" w:cs="Open Sans"/>
          <w:lang w:val="es-CO"/>
        </w:rPr>
      </w:pPr>
      <w:bookmarkStart w:id="0" w:name="_Toc518815684"/>
      <w:bookmarkStart w:id="1" w:name="_Toc528775190"/>
      <w:r w:rsidRPr="006812C9">
        <w:rPr>
          <w:rFonts w:ascii="Open Sans" w:hAnsi="Open Sans" w:cs="Open Sans"/>
          <w:lang w:val="es-CO"/>
        </w:rPr>
        <w:t>OBJETIVO GENERAL</w:t>
      </w:r>
      <w:bookmarkEnd w:id="0"/>
      <w:bookmarkEnd w:id="1"/>
      <w:r w:rsidRPr="006812C9">
        <w:rPr>
          <w:rFonts w:ascii="Open Sans" w:hAnsi="Open Sans" w:cs="Open Sans"/>
          <w:lang w:val="es-CO"/>
        </w:rPr>
        <w:t xml:space="preserve"> </w:t>
      </w:r>
      <w:bookmarkStart w:id="2" w:name="_Toc518815685"/>
    </w:p>
    <w:p w14:paraId="5A853B3A" w14:textId="77777777" w:rsidR="000F099B" w:rsidRDefault="000F099B" w:rsidP="000F099B">
      <w:pPr>
        <w:rPr>
          <w:lang w:val="es-CO"/>
        </w:rPr>
      </w:pPr>
    </w:p>
    <w:p w14:paraId="443E09B8" w14:textId="77777777" w:rsidR="000F099B" w:rsidRDefault="000F099B" w:rsidP="000F099B">
      <w:pPr>
        <w:pStyle w:val="Sinespaciado"/>
        <w:rPr>
          <w:rFonts w:ascii="Open Sans" w:hAnsi="Open Sans" w:cs="Open Sans"/>
          <w:color w:val="000000" w:themeColor="text1"/>
        </w:rPr>
      </w:pPr>
      <w:r w:rsidRPr="006812C9">
        <w:rPr>
          <w:rFonts w:ascii="Open Sans" w:hAnsi="Open Sans" w:cs="Open Sans"/>
          <w:color w:val="000000" w:themeColor="text1"/>
        </w:rPr>
        <w:t xml:space="preserve">Presentar los resultados del análisis de Brechas ejecutado al Sistema de Gestión de Seguridad de la Información del </w:t>
      </w:r>
      <w:r>
        <w:rPr>
          <w:rFonts w:ascii="Open Sans" w:hAnsi="Open Sans" w:cs="Open Sans"/>
          <w:color w:val="000000" w:themeColor="text1"/>
        </w:rPr>
        <w:t>Instituto Nacional de Salud</w:t>
      </w:r>
      <w:r w:rsidRPr="006812C9">
        <w:rPr>
          <w:rFonts w:ascii="Open Sans" w:hAnsi="Open Sans" w:cs="Open Sans"/>
          <w:color w:val="000000" w:themeColor="text1"/>
        </w:rPr>
        <w:t>, bajo la Norma ISO/IEC 27001:2013.</w:t>
      </w:r>
    </w:p>
    <w:p w14:paraId="1B07B608" w14:textId="77777777" w:rsidR="000F099B" w:rsidRPr="00433AFD" w:rsidRDefault="000F099B" w:rsidP="000F099B">
      <w:pPr>
        <w:pStyle w:val="Sinespaciado"/>
        <w:rPr>
          <w:lang w:val="es-CO"/>
        </w:rPr>
      </w:pPr>
    </w:p>
    <w:p w14:paraId="11DF10C0" w14:textId="77777777" w:rsidR="000F099B" w:rsidRPr="006812C9" w:rsidRDefault="000F099B" w:rsidP="000F099B">
      <w:pPr>
        <w:pStyle w:val="Ttulo2"/>
        <w:rPr>
          <w:lang w:val="es-CO"/>
        </w:rPr>
      </w:pPr>
      <w:bookmarkStart w:id="3" w:name="_Toc528775191"/>
      <w:r>
        <w:rPr>
          <w:lang w:val="es-CO"/>
        </w:rPr>
        <w:t xml:space="preserve">1.1 </w:t>
      </w:r>
      <w:r w:rsidRPr="006812C9">
        <w:rPr>
          <w:lang w:val="es-CO"/>
        </w:rPr>
        <w:t>OBJETIVOS ESPECÍFICOS</w:t>
      </w:r>
      <w:bookmarkEnd w:id="2"/>
      <w:bookmarkEnd w:id="3"/>
    </w:p>
    <w:p w14:paraId="35923FF0" w14:textId="77777777" w:rsidR="000F099B" w:rsidRDefault="000F099B" w:rsidP="000F099B">
      <w:pPr>
        <w:pStyle w:val="Prrafodelista"/>
        <w:ind w:left="284"/>
        <w:rPr>
          <w:rFonts w:ascii="Open Sans" w:hAnsi="Open Sans" w:cs="Open Sans"/>
          <w:color w:val="000000" w:themeColor="text1"/>
        </w:rPr>
      </w:pPr>
    </w:p>
    <w:p w14:paraId="46AB97C7" w14:textId="77777777" w:rsidR="000F099B" w:rsidRPr="006812C9" w:rsidRDefault="000F099B" w:rsidP="00187127">
      <w:pPr>
        <w:pStyle w:val="Prrafodelista"/>
        <w:widowControl/>
        <w:numPr>
          <w:ilvl w:val="0"/>
          <w:numId w:val="2"/>
        </w:numPr>
        <w:autoSpaceDE/>
        <w:autoSpaceDN/>
        <w:ind w:left="284" w:hanging="284"/>
        <w:contextualSpacing/>
        <w:jc w:val="both"/>
        <w:rPr>
          <w:rFonts w:ascii="Open Sans" w:hAnsi="Open Sans" w:cs="Open Sans"/>
          <w:color w:val="000000" w:themeColor="text1"/>
        </w:rPr>
      </w:pPr>
      <w:r w:rsidRPr="006812C9">
        <w:rPr>
          <w:rFonts w:ascii="Open Sans" w:hAnsi="Open Sans" w:cs="Open Sans"/>
          <w:color w:val="000000" w:themeColor="text1"/>
        </w:rPr>
        <w:t xml:space="preserve">Presentar el nivel de cumplimiento del SGSI del </w:t>
      </w:r>
      <w:r>
        <w:rPr>
          <w:rFonts w:ascii="Open Sans" w:hAnsi="Open Sans" w:cs="Open Sans"/>
          <w:color w:val="000000" w:themeColor="text1"/>
        </w:rPr>
        <w:t>Instituto Nacional de Salud</w:t>
      </w:r>
      <w:r w:rsidRPr="006812C9">
        <w:rPr>
          <w:rFonts w:ascii="Open Sans" w:hAnsi="Open Sans" w:cs="Open Sans"/>
          <w:color w:val="000000" w:themeColor="text1"/>
        </w:rPr>
        <w:t xml:space="preserve">, con relación a las cláusulas de obligatorio cumplimiento </w:t>
      </w:r>
      <w:r>
        <w:rPr>
          <w:rFonts w:ascii="Open Sans" w:hAnsi="Open Sans" w:cs="Open Sans"/>
          <w:color w:val="000000" w:themeColor="text1"/>
        </w:rPr>
        <w:t>del estándar</w:t>
      </w:r>
      <w:r w:rsidRPr="006812C9">
        <w:rPr>
          <w:rFonts w:ascii="Open Sans" w:hAnsi="Open Sans" w:cs="Open Sans"/>
          <w:color w:val="000000" w:themeColor="text1"/>
        </w:rPr>
        <w:t xml:space="preserve"> ISO/IEC 27001:2013.</w:t>
      </w:r>
    </w:p>
    <w:p w14:paraId="3FEA92F9" w14:textId="77777777" w:rsidR="000F099B" w:rsidRPr="006812C9" w:rsidRDefault="000F099B" w:rsidP="00187127">
      <w:pPr>
        <w:pStyle w:val="Prrafodelista"/>
        <w:widowControl/>
        <w:numPr>
          <w:ilvl w:val="0"/>
          <w:numId w:val="2"/>
        </w:numPr>
        <w:autoSpaceDE/>
        <w:autoSpaceDN/>
        <w:ind w:left="284" w:hanging="284"/>
        <w:contextualSpacing/>
        <w:jc w:val="both"/>
        <w:rPr>
          <w:rFonts w:ascii="Open Sans" w:hAnsi="Open Sans" w:cs="Open Sans"/>
          <w:color w:val="000000" w:themeColor="text1"/>
        </w:rPr>
      </w:pPr>
      <w:r w:rsidRPr="006812C9">
        <w:rPr>
          <w:rFonts w:ascii="Open Sans" w:hAnsi="Open Sans" w:cs="Open Sans"/>
          <w:color w:val="000000" w:themeColor="text1"/>
        </w:rPr>
        <w:t>Hacer un análisis detallado de cada uno de los requerimientos por clausula, indicando el estado actual de Madurez</w:t>
      </w:r>
    </w:p>
    <w:p w14:paraId="25152098" w14:textId="77777777" w:rsidR="000F099B" w:rsidRPr="006812C9" w:rsidRDefault="000F099B" w:rsidP="00187127">
      <w:pPr>
        <w:pStyle w:val="Prrafodelista"/>
        <w:widowControl/>
        <w:numPr>
          <w:ilvl w:val="0"/>
          <w:numId w:val="2"/>
        </w:numPr>
        <w:autoSpaceDE/>
        <w:autoSpaceDN/>
        <w:ind w:left="284" w:hanging="284"/>
        <w:contextualSpacing/>
        <w:jc w:val="both"/>
        <w:rPr>
          <w:rFonts w:ascii="Open Sans" w:hAnsi="Open Sans" w:cs="Open Sans"/>
          <w:color w:val="000000" w:themeColor="text1"/>
        </w:rPr>
      </w:pPr>
      <w:r w:rsidRPr="006812C9">
        <w:rPr>
          <w:rFonts w:ascii="Open Sans" w:hAnsi="Open Sans" w:cs="Open Sans"/>
          <w:color w:val="000000" w:themeColor="text1"/>
        </w:rPr>
        <w:t>Presentar gráficamente el porcentaje de cumplimiento de las cláusulas establecidas en la Norma ISO/IEC 27001:2013.</w:t>
      </w:r>
    </w:p>
    <w:p w14:paraId="36901B4B" w14:textId="77777777" w:rsidR="000F099B" w:rsidRPr="006812C9" w:rsidRDefault="000F099B" w:rsidP="00187127">
      <w:pPr>
        <w:pStyle w:val="Prrafodelista"/>
        <w:widowControl/>
        <w:numPr>
          <w:ilvl w:val="0"/>
          <w:numId w:val="2"/>
        </w:numPr>
        <w:autoSpaceDE/>
        <w:autoSpaceDN/>
        <w:ind w:left="284" w:hanging="284"/>
        <w:contextualSpacing/>
        <w:jc w:val="both"/>
        <w:rPr>
          <w:rFonts w:ascii="Open Sans" w:hAnsi="Open Sans" w:cs="Open Sans"/>
          <w:color w:val="000000" w:themeColor="text1"/>
        </w:rPr>
      </w:pPr>
      <w:r w:rsidRPr="006812C9">
        <w:rPr>
          <w:rFonts w:ascii="Open Sans" w:hAnsi="Open Sans" w:cs="Open Sans"/>
          <w:color w:val="000000" w:themeColor="text1"/>
        </w:rPr>
        <w:t xml:space="preserve">Dar a conocer el porcentaje de cumplimiento de los controles actualmente implementados en el </w:t>
      </w:r>
      <w:r>
        <w:rPr>
          <w:rFonts w:ascii="Open Sans" w:hAnsi="Open Sans" w:cs="Open Sans"/>
          <w:color w:val="000000" w:themeColor="text1"/>
        </w:rPr>
        <w:t>Instituto Nacional de Salud</w:t>
      </w:r>
      <w:r w:rsidRPr="006812C9">
        <w:rPr>
          <w:rFonts w:ascii="Open Sans" w:hAnsi="Open Sans" w:cs="Open Sans"/>
          <w:color w:val="000000" w:themeColor="text1"/>
        </w:rPr>
        <w:t xml:space="preserve">, con respecto a los objetivos de control y controles de seguridad establecidos en el Anexo A </w:t>
      </w:r>
      <w:r>
        <w:rPr>
          <w:rFonts w:ascii="Open Sans" w:hAnsi="Open Sans" w:cs="Open Sans"/>
          <w:color w:val="000000" w:themeColor="text1"/>
        </w:rPr>
        <w:t>del estándar</w:t>
      </w:r>
      <w:r w:rsidRPr="006812C9">
        <w:rPr>
          <w:rFonts w:ascii="Open Sans" w:hAnsi="Open Sans" w:cs="Open Sans"/>
          <w:color w:val="000000" w:themeColor="text1"/>
        </w:rPr>
        <w:t xml:space="preserve"> ISO/IEC 2700</w:t>
      </w:r>
      <w:r>
        <w:rPr>
          <w:rFonts w:ascii="Open Sans" w:hAnsi="Open Sans" w:cs="Open Sans"/>
          <w:color w:val="000000" w:themeColor="text1"/>
        </w:rPr>
        <w:t>1</w:t>
      </w:r>
      <w:r w:rsidRPr="006812C9">
        <w:rPr>
          <w:rFonts w:ascii="Open Sans" w:hAnsi="Open Sans" w:cs="Open Sans"/>
          <w:color w:val="000000" w:themeColor="text1"/>
        </w:rPr>
        <w:t>:2013.</w:t>
      </w:r>
    </w:p>
    <w:p w14:paraId="5173EF4D" w14:textId="77777777" w:rsidR="000F099B" w:rsidRPr="006812C9" w:rsidRDefault="000F099B" w:rsidP="00187127">
      <w:pPr>
        <w:pStyle w:val="Prrafodelista"/>
        <w:widowControl/>
        <w:numPr>
          <w:ilvl w:val="0"/>
          <w:numId w:val="2"/>
        </w:numPr>
        <w:autoSpaceDE/>
        <w:autoSpaceDN/>
        <w:ind w:left="284" w:hanging="284"/>
        <w:contextualSpacing/>
        <w:jc w:val="both"/>
        <w:rPr>
          <w:rFonts w:ascii="Open Sans" w:hAnsi="Open Sans" w:cs="Open Sans"/>
          <w:color w:val="000000" w:themeColor="text1"/>
        </w:rPr>
      </w:pPr>
      <w:r w:rsidRPr="006812C9">
        <w:rPr>
          <w:rFonts w:ascii="Open Sans" w:hAnsi="Open Sans" w:cs="Open Sans"/>
          <w:color w:val="000000" w:themeColor="text1"/>
        </w:rPr>
        <w:t>Hacer un análisis detallado de cada uno de los controles de seguridad por objetivo de control, indicando la evidencia de implementación y el Nivel de Madurez</w:t>
      </w:r>
    </w:p>
    <w:p w14:paraId="67B03BC1" w14:textId="77777777" w:rsidR="000F099B" w:rsidRPr="006812C9" w:rsidRDefault="000F099B" w:rsidP="00187127">
      <w:pPr>
        <w:pStyle w:val="Prrafodelista"/>
        <w:widowControl/>
        <w:numPr>
          <w:ilvl w:val="0"/>
          <w:numId w:val="2"/>
        </w:numPr>
        <w:autoSpaceDE/>
        <w:autoSpaceDN/>
        <w:ind w:left="284" w:hanging="284"/>
        <w:contextualSpacing/>
        <w:jc w:val="both"/>
        <w:rPr>
          <w:rFonts w:ascii="Open Sans" w:hAnsi="Open Sans" w:cs="Open Sans"/>
          <w:color w:val="000000" w:themeColor="text1"/>
        </w:rPr>
      </w:pPr>
      <w:r w:rsidRPr="006812C9">
        <w:rPr>
          <w:rFonts w:ascii="Open Sans" w:hAnsi="Open Sans" w:cs="Open Sans"/>
          <w:color w:val="000000" w:themeColor="text1"/>
        </w:rPr>
        <w:t xml:space="preserve">Presentar gráficamente el porcentaje de cumplimiento de los objetivos de control establecidos en el </w:t>
      </w:r>
      <w:r>
        <w:rPr>
          <w:rFonts w:ascii="Open Sans" w:hAnsi="Open Sans" w:cs="Open Sans"/>
          <w:color w:val="000000" w:themeColor="text1"/>
        </w:rPr>
        <w:t>Anexo A del estándar ISO/IEC 27001</w:t>
      </w:r>
      <w:r w:rsidRPr="006812C9">
        <w:rPr>
          <w:rFonts w:ascii="Open Sans" w:hAnsi="Open Sans" w:cs="Open Sans"/>
          <w:color w:val="000000" w:themeColor="text1"/>
        </w:rPr>
        <w:t>:2013.</w:t>
      </w:r>
    </w:p>
    <w:p w14:paraId="6EF152B2" w14:textId="77777777" w:rsidR="000F099B" w:rsidRPr="006812C9" w:rsidRDefault="000F099B" w:rsidP="00187127">
      <w:pPr>
        <w:pStyle w:val="Prrafodelista"/>
        <w:widowControl/>
        <w:numPr>
          <w:ilvl w:val="0"/>
          <w:numId w:val="2"/>
        </w:numPr>
        <w:autoSpaceDE/>
        <w:autoSpaceDN/>
        <w:ind w:left="284" w:hanging="284"/>
        <w:contextualSpacing/>
        <w:jc w:val="both"/>
        <w:rPr>
          <w:rFonts w:ascii="Open Sans" w:hAnsi="Open Sans" w:cs="Open Sans"/>
          <w:color w:val="000000" w:themeColor="text1"/>
        </w:rPr>
      </w:pPr>
      <w:r w:rsidRPr="006812C9">
        <w:rPr>
          <w:rFonts w:ascii="Open Sans" w:hAnsi="Open Sans" w:cs="Open Sans"/>
          <w:color w:val="000000" w:themeColor="text1"/>
        </w:rPr>
        <w:t>Ge</w:t>
      </w:r>
      <w:r>
        <w:rPr>
          <w:rFonts w:ascii="Open Sans" w:hAnsi="Open Sans" w:cs="Open Sans"/>
          <w:color w:val="000000" w:themeColor="text1"/>
        </w:rPr>
        <w:t>nerar conclusiones del Análisis.</w:t>
      </w:r>
    </w:p>
    <w:p w14:paraId="3AFE72F9" w14:textId="77777777" w:rsidR="000F099B" w:rsidRPr="006812C9" w:rsidRDefault="000F099B" w:rsidP="00187127">
      <w:pPr>
        <w:pStyle w:val="Ttulo1"/>
        <w:keepNext/>
        <w:keepLines/>
        <w:widowControl/>
        <w:numPr>
          <w:ilvl w:val="0"/>
          <w:numId w:val="7"/>
        </w:numPr>
        <w:autoSpaceDE/>
        <w:autoSpaceDN/>
        <w:spacing w:before="320" w:after="40"/>
        <w:ind w:left="426"/>
        <w:jc w:val="both"/>
        <w:rPr>
          <w:rFonts w:ascii="Open Sans" w:hAnsi="Open Sans" w:cs="Open Sans"/>
          <w:lang w:val="es-CO"/>
        </w:rPr>
      </w:pPr>
      <w:bookmarkStart w:id="4" w:name="_Toc518815686"/>
      <w:bookmarkStart w:id="5" w:name="_Toc528775192"/>
      <w:r w:rsidRPr="006812C9">
        <w:rPr>
          <w:rFonts w:ascii="Open Sans" w:hAnsi="Open Sans" w:cs="Open Sans"/>
          <w:lang w:val="es-CO"/>
        </w:rPr>
        <w:t>GLOSARIO DE TÉRMINOS</w:t>
      </w:r>
      <w:bookmarkEnd w:id="4"/>
      <w:bookmarkEnd w:id="5"/>
    </w:p>
    <w:p w14:paraId="4E8D7B1F" w14:textId="77777777" w:rsidR="000F099B" w:rsidRPr="006812C9" w:rsidRDefault="000F099B" w:rsidP="000F099B"/>
    <w:p w14:paraId="24B924BD" w14:textId="77777777" w:rsidR="000F099B" w:rsidRPr="006812C9" w:rsidRDefault="000F099B" w:rsidP="000F099B">
      <w:pPr>
        <w:spacing w:after="240"/>
        <w:rPr>
          <w:rFonts w:ascii="Open Sans" w:hAnsi="Open Sans" w:cs="Open Sans"/>
          <w:b/>
          <w:color w:val="000000" w:themeColor="text1"/>
        </w:rPr>
      </w:pPr>
      <w:r w:rsidRPr="006812C9">
        <w:rPr>
          <w:rFonts w:ascii="Open Sans" w:hAnsi="Open Sans" w:cs="Open Sans"/>
          <w:b/>
          <w:color w:val="000000" w:themeColor="text1"/>
        </w:rPr>
        <w:t xml:space="preserve">Aceptación del riesgo: </w:t>
      </w:r>
      <w:r w:rsidRPr="006812C9">
        <w:rPr>
          <w:rFonts w:ascii="Open Sans" w:hAnsi="Open Sans" w:cs="Open Sans"/>
          <w:color w:val="000000" w:themeColor="text1"/>
        </w:rPr>
        <w:t>Decisión de asumir el riesgo.</w:t>
      </w:r>
    </w:p>
    <w:p w14:paraId="6DC31D48" w14:textId="77777777" w:rsidR="000F099B" w:rsidRPr="006812C9" w:rsidRDefault="000F099B" w:rsidP="000F099B">
      <w:pPr>
        <w:spacing w:after="240"/>
        <w:rPr>
          <w:rFonts w:ascii="Open Sans" w:hAnsi="Open Sans" w:cs="Open Sans"/>
          <w:b/>
          <w:color w:val="000000" w:themeColor="text1"/>
        </w:rPr>
      </w:pPr>
      <w:r w:rsidRPr="006812C9">
        <w:rPr>
          <w:rFonts w:ascii="Open Sans" w:hAnsi="Open Sans" w:cs="Open Sans"/>
          <w:b/>
          <w:color w:val="000000" w:themeColor="text1"/>
        </w:rPr>
        <w:t>Activo de Información:</w:t>
      </w:r>
      <w:r w:rsidRPr="006812C9">
        <w:rPr>
          <w:rFonts w:ascii="Open Sans" w:hAnsi="Open Sans" w:cs="Open Sans"/>
          <w:color w:val="000000" w:themeColor="text1"/>
        </w:rPr>
        <w:t xml:space="preserve"> Cualquier componente (sea humano, tecnológico, software, etc.) que sustenta uno o más procesos de negocios de una unidad o área de negocio. En otras palabras, es todo aquello que tiene valor para la organización.</w:t>
      </w:r>
    </w:p>
    <w:p w14:paraId="71473CF4" w14:textId="77777777" w:rsidR="000F099B" w:rsidRDefault="000F099B" w:rsidP="000F099B">
      <w:pPr>
        <w:spacing w:after="240"/>
        <w:rPr>
          <w:rFonts w:ascii="Open Sans" w:hAnsi="Open Sans" w:cs="Open Sans"/>
          <w:color w:val="000000" w:themeColor="text1"/>
        </w:rPr>
      </w:pPr>
      <w:r w:rsidRPr="006812C9">
        <w:rPr>
          <w:rFonts w:ascii="Open Sans" w:hAnsi="Open Sans" w:cs="Open Sans"/>
          <w:b/>
          <w:color w:val="000000" w:themeColor="text1"/>
        </w:rPr>
        <w:t xml:space="preserve">Análisis de riesgo: </w:t>
      </w:r>
      <w:r w:rsidRPr="006812C9">
        <w:rPr>
          <w:rFonts w:ascii="Open Sans" w:hAnsi="Open Sans" w:cs="Open Sans"/>
          <w:color w:val="000000" w:themeColor="text1"/>
        </w:rPr>
        <w:t>Uso sistemático de la información para identificar las fuentes y estimar el riesgo.</w:t>
      </w:r>
    </w:p>
    <w:p w14:paraId="54FA48C3" w14:textId="77777777" w:rsidR="000F099B" w:rsidRPr="001E36CB" w:rsidRDefault="000F099B" w:rsidP="000F099B">
      <w:pPr>
        <w:pStyle w:val="Sinespaciado"/>
        <w:rPr>
          <w:rFonts w:ascii="Open Sans" w:hAnsi="Open Sans" w:cs="Open Sans"/>
          <w:i/>
          <w:iCs/>
          <w:color w:val="000000" w:themeColor="text1"/>
        </w:rPr>
      </w:pPr>
      <w:r w:rsidRPr="001E36CB">
        <w:rPr>
          <w:rFonts w:ascii="Open Sans" w:hAnsi="Open Sans" w:cs="Open Sans"/>
          <w:b/>
          <w:color w:val="000000" w:themeColor="text1"/>
        </w:rPr>
        <w:t>Autenticidad:</w:t>
      </w:r>
      <w:r w:rsidRPr="001E36CB">
        <w:rPr>
          <w:rFonts w:ascii="Open Sans" w:hAnsi="Open Sans" w:cs="Open Sans"/>
          <w:color w:val="000000" w:themeColor="text1"/>
        </w:rPr>
        <w:t xml:space="preserve"> Se refiere a la capacidad de garantizar la identidad de los usuarios y procesos</w:t>
      </w:r>
      <w:r w:rsidRPr="001E36CB">
        <w:rPr>
          <w:rFonts w:ascii="Open Sans" w:hAnsi="Open Sans" w:cs="Open Sans"/>
          <w:color w:val="000000" w:themeColor="text1"/>
        </w:rPr>
        <w:br/>
        <w:t xml:space="preserve">que manejan la información. </w:t>
      </w:r>
    </w:p>
    <w:p w14:paraId="20C63EE1" w14:textId="77777777" w:rsidR="000F099B" w:rsidRPr="001E36CB" w:rsidRDefault="000F099B" w:rsidP="000F099B">
      <w:pPr>
        <w:pStyle w:val="Sinespaciado"/>
      </w:pPr>
    </w:p>
    <w:p w14:paraId="7066EFA3" w14:textId="77777777" w:rsidR="000F099B" w:rsidRPr="006812C9" w:rsidRDefault="000F099B" w:rsidP="000F099B">
      <w:pPr>
        <w:spacing w:after="240"/>
        <w:rPr>
          <w:rFonts w:ascii="Open Sans" w:hAnsi="Open Sans" w:cs="Open Sans"/>
          <w:b/>
          <w:color w:val="000000" w:themeColor="text1"/>
        </w:rPr>
      </w:pPr>
      <w:r w:rsidRPr="006812C9">
        <w:rPr>
          <w:rFonts w:ascii="Open Sans" w:hAnsi="Open Sans" w:cs="Open Sans"/>
          <w:b/>
          <w:color w:val="000000" w:themeColor="text1"/>
        </w:rPr>
        <w:t xml:space="preserve">Confidencialidad: </w:t>
      </w:r>
      <w:r w:rsidRPr="006812C9">
        <w:rPr>
          <w:rFonts w:ascii="Open Sans" w:hAnsi="Open Sans" w:cs="Open Sans"/>
          <w:color w:val="000000" w:themeColor="text1"/>
        </w:rPr>
        <w:t>Propiedad que determina que la información no está disponible ni sea revelada a individuos, entidades o procesos no autorizados.</w:t>
      </w:r>
    </w:p>
    <w:p w14:paraId="38043F5E" w14:textId="77777777" w:rsidR="000F099B" w:rsidRPr="006812C9" w:rsidRDefault="000F099B" w:rsidP="000F099B">
      <w:pPr>
        <w:spacing w:after="240"/>
        <w:rPr>
          <w:rFonts w:ascii="Open Sans" w:hAnsi="Open Sans" w:cs="Open Sans"/>
          <w:b/>
          <w:color w:val="000000" w:themeColor="text1"/>
        </w:rPr>
      </w:pPr>
      <w:r w:rsidRPr="006812C9">
        <w:rPr>
          <w:rFonts w:ascii="Open Sans" w:hAnsi="Open Sans" w:cs="Open Sans"/>
          <w:b/>
          <w:color w:val="000000" w:themeColor="text1"/>
        </w:rPr>
        <w:t>Declaración de aplicabilidad:</w:t>
      </w:r>
      <w:r w:rsidRPr="006812C9">
        <w:rPr>
          <w:rFonts w:ascii="Open Sans" w:hAnsi="Open Sans" w:cs="Open Sans"/>
          <w:color w:val="000000" w:themeColor="text1"/>
        </w:rPr>
        <w:t xml:space="preserve"> Documento que describe los objetivos de control y los controles pertinentes y aplicables para el SGSI de la organización.</w:t>
      </w:r>
    </w:p>
    <w:p w14:paraId="15FFDC6E" w14:textId="77777777" w:rsidR="000F099B" w:rsidRPr="006812C9" w:rsidRDefault="000F099B" w:rsidP="000F099B">
      <w:pPr>
        <w:spacing w:after="240"/>
        <w:rPr>
          <w:rFonts w:ascii="Open Sans" w:hAnsi="Open Sans" w:cs="Open Sans"/>
          <w:b/>
          <w:color w:val="000000" w:themeColor="text1"/>
        </w:rPr>
      </w:pPr>
      <w:r w:rsidRPr="006812C9">
        <w:rPr>
          <w:rFonts w:ascii="Open Sans" w:hAnsi="Open Sans" w:cs="Open Sans"/>
          <w:b/>
          <w:color w:val="000000" w:themeColor="text1"/>
        </w:rPr>
        <w:t xml:space="preserve">Disponibilidad: </w:t>
      </w:r>
      <w:r w:rsidRPr="006812C9">
        <w:rPr>
          <w:rFonts w:ascii="Open Sans" w:hAnsi="Open Sans" w:cs="Open Sans"/>
          <w:color w:val="000000" w:themeColor="text1"/>
        </w:rPr>
        <w:t>Propiedad de que la información sea accesible y utilizable por solicitud de una entidad autorizada.</w:t>
      </w:r>
    </w:p>
    <w:p w14:paraId="13B8354A" w14:textId="77777777" w:rsidR="000F099B" w:rsidRPr="006812C9" w:rsidRDefault="000F099B" w:rsidP="000F099B">
      <w:pPr>
        <w:spacing w:after="240"/>
        <w:rPr>
          <w:rFonts w:ascii="Open Sans" w:hAnsi="Open Sans" w:cs="Open Sans"/>
          <w:b/>
          <w:color w:val="000000" w:themeColor="text1"/>
        </w:rPr>
      </w:pPr>
      <w:r w:rsidRPr="006812C9">
        <w:rPr>
          <w:rFonts w:ascii="Open Sans" w:hAnsi="Open Sans" w:cs="Open Sans"/>
          <w:b/>
          <w:color w:val="000000" w:themeColor="text1"/>
        </w:rPr>
        <w:t>Evaluación del riesgo:</w:t>
      </w:r>
      <w:r w:rsidRPr="006812C9">
        <w:rPr>
          <w:rFonts w:ascii="Open Sans" w:hAnsi="Open Sans" w:cs="Open Sans"/>
          <w:color w:val="000000" w:themeColor="text1"/>
        </w:rPr>
        <w:t xml:space="preserve"> Proceso de comparar el riesgo estimado contra criterios de riesgo dados, </w:t>
      </w:r>
      <w:r w:rsidRPr="006812C9">
        <w:rPr>
          <w:rFonts w:ascii="Open Sans" w:hAnsi="Open Sans" w:cs="Open Sans"/>
          <w:color w:val="000000" w:themeColor="text1"/>
        </w:rPr>
        <w:lastRenderedPageBreak/>
        <w:t>para determinar la importancia del riesgo.</w:t>
      </w:r>
    </w:p>
    <w:p w14:paraId="1CE11CBF" w14:textId="77777777" w:rsidR="000F099B" w:rsidRPr="006812C9" w:rsidRDefault="000F099B" w:rsidP="000F099B">
      <w:pPr>
        <w:spacing w:after="240"/>
        <w:rPr>
          <w:rFonts w:ascii="Open Sans" w:hAnsi="Open Sans" w:cs="Open Sans"/>
          <w:b/>
          <w:color w:val="000000" w:themeColor="text1"/>
        </w:rPr>
      </w:pPr>
      <w:r w:rsidRPr="006812C9">
        <w:rPr>
          <w:rFonts w:ascii="Open Sans" w:hAnsi="Open Sans" w:cs="Open Sans"/>
          <w:b/>
          <w:color w:val="000000" w:themeColor="text1"/>
        </w:rPr>
        <w:t xml:space="preserve">Evento de seguridad de la información: </w:t>
      </w:r>
      <w:r w:rsidRPr="006812C9">
        <w:rPr>
          <w:rFonts w:ascii="Open Sans" w:hAnsi="Open Sans" w:cs="Open Sans"/>
          <w:color w:val="000000" w:themeColor="text1"/>
        </w:rPr>
        <w:t>Presencia identificada de una condición de un sistema, servicio o red, que indica una posible violación de la política de seguridad de la información o la falla de las salvaguardas, o una situación desconocida previamente que puede ser pertinente a la seguridad.</w:t>
      </w:r>
    </w:p>
    <w:p w14:paraId="03187C18" w14:textId="77777777" w:rsidR="000F099B" w:rsidRPr="006812C9" w:rsidRDefault="000F099B" w:rsidP="000F099B">
      <w:pPr>
        <w:spacing w:after="240"/>
        <w:rPr>
          <w:rFonts w:ascii="Open Sans" w:hAnsi="Open Sans" w:cs="Open Sans"/>
          <w:b/>
          <w:color w:val="000000" w:themeColor="text1"/>
        </w:rPr>
      </w:pPr>
      <w:r w:rsidRPr="006812C9">
        <w:rPr>
          <w:rFonts w:ascii="Open Sans" w:hAnsi="Open Sans" w:cs="Open Sans"/>
          <w:b/>
          <w:color w:val="000000" w:themeColor="text1"/>
        </w:rPr>
        <w:t xml:space="preserve">Gestión del riesgo: </w:t>
      </w:r>
      <w:r w:rsidRPr="006812C9">
        <w:rPr>
          <w:rFonts w:ascii="Open Sans" w:hAnsi="Open Sans" w:cs="Open Sans"/>
          <w:color w:val="000000" w:themeColor="text1"/>
        </w:rPr>
        <w:t>Actividades coordinadas para dirigir y controlar una organización en relación con el riesgo.</w:t>
      </w:r>
    </w:p>
    <w:p w14:paraId="5D5D5ABE" w14:textId="77777777" w:rsidR="000F099B" w:rsidRPr="006812C9" w:rsidRDefault="000F099B" w:rsidP="000F099B">
      <w:pPr>
        <w:spacing w:after="240"/>
        <w:rPr>
          <w:rFonts w:ascii="Open Sans" w:hAnsi="Open Sans" w:cs="Open Sans"/>
          <w:b/>
          <w:color w:val="000000" w:themeColor="text1"/>
        </w:rPr>
      </w:pPr>
      <w:r w:rsidRPr="006812C9">
        <w:rPr>
          <w:rFonts w:ascii="Open Sans" w:hAnsi="Open Sans" w:cs="Open Sans"/>
          <w:b/>
          <w:color w:val="000000" w:themeColor="text1"/>
        </w:rPr>
        <w:t>Incidente de seguridad de la información:</w:t>
      </w:r>
      <w:r w:rsidRPr="006812C9">
        <w:rPr>
          <w:rFonts w:ascii="Open Sans" w:hAnsi="Open Sans" w:cs="Open Sans"/>
          <w:color w:val="000000" w:themeColor="text1"/>
        </w:rPr>
        <w:t xml:space="preserve"> Un evento o serie de eventos de seguridad de la información no deseados o inesperados que tienen una probabilidad significativa de comprometer las operaciones del negocio y amenazar la seguridad de la información.</w:t>
      </w:r>
    </w:p>
    <w:p w14:paraId="616F0370" w14:textId="77777777" w:rsidR="000F099B" w:rsidRPr="006812C9" w:rsidRDefault="000F099B" w:rsidP="000F099B">
      <w:pPr>
        <w:spacing w:after="240"/>
        <w:rPr>
          <w:rFonts w:ascii="Open Sans" w:hAnsi="Open Sans" w:cs="Open Sans"/>
          <w:b/>
          <w:color w:val="000000" w:themeColor="text1"/>
        </w:rPr>
      </w:pPr>
      <w:r w:rsidRPr="006812C9">
        <w:rPr>
          <w:rFonts w:ascii="Open Sans" w:hAnsi="Open Sans" w:cs="Open Sans"/>
          <w:b/>
          <w:color w:val="000000" w:themeColor="text1"/>
        </w:rPr>
        <w:t xml:space="preserve">Integridad: </w:t>
      </w:r>
      <w:r w:rsidRPr="006812C9">
        <w:rPr>
          <w:rFonts w:ascii="Open Sans" w:hAnsi="Open Sans" w:cs="Open Sans"/>
          <w:color w:val="000000" w:themeColor="text1"/>
        </w:rPr>
        <w:t>Propiedad de salvaguardar la exactitud y estado completo de los activos.</w:t>
      </w:r>
    </w:p>
    <w:p w14:paraId="7AE3DD6A" w14:textId="77777777" w:rsidR="000F099B" w:rsidRPr="006812C9" w:rsidRDefault="000F099B" w:rsidP="000F099B">
      <w:pPr>
        <w:spacing w:after="240"/>
        <w:rPr>
          <w:rFonts w:ascii="Open Sans" w:hAnsi="Open Sans" w:cs="Open Sans"/>
          <w:b/>
          <w:color w:val="000000" w:themeColor="text1"/>
        </w:rPr>
      </w:pPr>
      <w:r w:rsidRPr="006812C9">
        <w:rPr>
          <w:rFonts w:ascii="Open Sans" w:hAnsi="Open Sans" w:cs="Open Sans"/>
          <w:b/>
          <w:color w:val="000000" w:themeColor="text1"/>
        </w:rPr>
        <w:t xml:space="preserve">Riesgo residual: </w:t>
      </w:r>
      <w:r w:rsidRPr="006812C9">
        <w:rPr>
          <w:rFonts w:ascii="Open Sans" w:hAnsi="Open Sans" w:cs="Open Sans"/>
          <w:color w:val="000000" w:themeColor="text1"/>
        </w:rPr>
        <w:t>Nivel restante del riesgo después del tratamiento del riesgo.</w:t>
      </w:r>
    </w:p>
    <w:p w14:paraId="12B223C5" w14:textId="77777777" w:rsidR="000F099B" w:rsidRPr="006812C9" w:rsidRDefault="000F099B" w:rsidP="000F099B">
      <w:pPr>
        <w:spacing w:after="240"/>
        <w:rPr>
          <w:rFonts w:ascii="Open Sans" w:hAnsi="Open Sans" w:cs="Open Sans"/>
          <w:b/>
          <w:color w:val="000000" w:themeColor="text1"/>
        </w:rPr>
      </w:pPr>
      <w:r w:rsidRPr="006812C9">
        <w:rPr>
          <w:rFonts w:ascii="Open Sans" w:hAnsi="Open Sans" w:cs="Open Sans"/>
          <w:b/>
          <w:color w:val="000000" w:themeColor="text1"/>
        </w:rPr>
        <w:t xml:space="preserve">Seguridad de la Información: </w:t>
      </w:r>
      <w:r w:rsidRPr="006812C9">
        <w:rPr>
          <w:rFonts w:ascii="Open Sans" w:hAnsi="Open Sans" w:cs="Open Sans"/>
          <w:color w:val="000000" w:themeColor="text1"/>
        </w:rPr>
        <w:t>Preservación de la confidencialidad, la integridad y la disponibilidad de la información; además puede involucrar otras propiedades tales como, autenticidad, trazabilidad, no repudio y fiabilidad.</w:t>
      </w:r>
    </w:p>
    <w:p w14:paraId="57130492" w14:textId="77777777" w:rsidR="000F099B" w:rsidRPr="006812C9" w:rsidRDefault="000F099B" w:rsidP="000F099B">
      <w:pPr>
        <w:spacing w:after="240"/>
        <w:rPr>
          <w:rFonts w:ascii="Open Sans" w:hAnsi="Open Sans" w:cs="Open Sans"/>
          <w:b/>
          <w:color w:val="000000" w:themeColor="text1"/>
        </w:rPr>
      </w:pPr>
      <w:r w:rsidRPr="006812C9">
        <w:rPr>
          <w:rFonts w:ascii="Open Sans" w:hAnsi="Open Sans" w:cs="Open Sans"/>
          <w:b/>
          <w:color w:val="000000" w:themeColor="text1"/>
        </w:rPr>
        <w:t xml:space="preserve">Sistema de Gestión de Seguridad de la Información </w:t>
      </w:r>
      <w:r w:rsidRPr="006812C9">
        <w:rPr>
          <w:rFonts w:ascii="Open Sans" w:hAnsi="Open Sans" w:cs="Open Sans"/>
          <w:color w:val="000000" w:themeColor="text1"/>
        </w:rPr>
        <w:t>Parte del sistema de gestión global, basado en un enfoque hacia los riesgos globales de un negocio, cuyo fin es establecer, implementar, operar, hacer seguimiento, revisar, mantener y mejorar la Seguridad de la Información.</w:t>
      </w:r>
    </w:p>
    <w:p w14:paraId="0FA3443C" w14:textId="77777777" w:rsidR="000F099B" w:rsidRDefault="000F099B" w:rsidP="000F099B">
      <w:pPr>
        <w:spacing w:after="240"/>
        <w:rPr>
          <w:rFonts w:ascii="Open Sans" w:hAnsi="Open Sans" w:cs="Open Sans"/>
          <w:color w:val="000000" w:themeColor="text1"/>
        </w:rPr>
      </w:pPr>
      <w:r w:rsidRPr="006812C9">
        <w:rPr>
          <w:rFonts w:ascii="Open Sans" w:hAnsi="Open Sans" w:cs="Open Sans"/>
          <w:b/>
          <w:color w:val="000000" w:themeColor="text1"/>
        </w:rPr>
        <w:t xml:space="preserve">Tratamiento del riesgo: </w:t>
      </w:r>
      <w:r w:rsidRPr="006812C9">
        <w:rPr>
          <w:rFonts w:ascii="Open Sans" w:hAnsi="Open Sans" w:cs="Open Sans"/>
          <w:color w:val="000000" w:themeColor="text1"/>
        </w:rPr>
        <w:t>Proceso de selección e implementación de medidas para modificar el riesgo.</w:t>
      </w:r>
    </w:p>
    <w:p w14:paraId="057D7A8E" w14:textId="77777777" w:rsidR="000F099B" w:rsidRPr="001E36CB" w:rsidRDefault="000F099B" w:rsidP="000F099B">
      <w:pPr>
        <w:pStyle w:val="Sinespaciado"/>
        <w:rPr>
          <w:rFonts w:ascii="Open Sans" w:hAnsi="Open Sans" w:cs="Open Sans"/>
          <w:color w:val="000000" w:themeColor="text1"/>
        </w:rPr>
      </w:pPr>
      <w:r w:rsidRPr="001E36CB">
        <w:rPr>
          <w:rFonts w:ascii="Open Sans" w:hAnsi="Open Sans" w:cs="Open Sans"/>
          <w:b/>
          <w:color w:val="000000" w:themeColor="text1"/>
        </w:rPr>
        <w:t>Trazabilidad:</w:t>
      </w:r>
      <w:r w:rsidRPr="001E36CB">
        <w:rPr>
          <w:rFonts w:ascii="Open Sans" w:hAnsi="Open Sans" w:cs="Open Sans"/>
          <w:color w:val="000000" w:themeColor="text1"/>
        </w:rPr>
        <w:t xml:space="preserve"> </w:t>
      </w:r>
      <w:r>
        <w:rPr>
          <w:rFonts w:ascii="Open Sans" w:hAnsi="Open Sans" w:cs="Open Sans"/>
          <w:color w:val="000000" w:themeColor="text1"/>
        </w:rPr>
        <w:t xml:space="preserve">Las actuaciones </w:t>
      </w:r>
      <w:r w:rsidRPr="001E36CB">
        <w:rPr>
          <w:rFonts w:ascii="Open Sans" w:hAnsi="Open Sans" w:cs="Open Sans"/>
          <w:color w:val="000000" w:themeColor="text1"/>
        </w:rPr>
        <w:t>pueden ser reproducidas mediante una secuencia de</w:t>
      </w:r>
      <w:r w:rsidRPr="001E36CB">
        <w:rPr>
          <w:rFonts w:ascii="Open Sans" w:hAnsi="Open Sans" w:cs="Open Sans"/>
          <w:color w:val="000000" w:themeColor="text1"/>
        </w:rPr>
        <w:br/>
        <w:t xml:space="preserve">acciones determinando quien fue el autor de la acción. </w:t>
      </w:r>
    </w:p>
    <w:p w14:paraId="39D35B60" w14:textId="77777777" w:rsidR="000F099B" w:rsidRPr="001E36CB" w:rsidRDefault="000F099B" w:rsidP="000F099B">
      <w:pPr>
        <w:pStyle w:val="Sinespaciado"/>
      </w:pPr>
    </w:p>
    <w:p w14:paraId="7C6537C8" w14:textId="77777777" w:rsidR="000F099B" w:rsidRPr="006812C9" w:rsidRDefault="000F099B" w:rsidP="000F099B">
      <w:pPr>
        <w:spacing w:after="240"/>
        <w:rPr>
          <w:rFonts w:ascii="Open Sans" w:hAnsi="Open Sans" w:cs="Open Sans"/>
          <w:color w:val="000000" w:themeColor="text1"/>
          <w:sz w:val="24"/>
        </w:rPr>
      </w:pPr>
      <w:r w:rsidRPr="006812C9">
        <w:rPr>
          <w:rFonts w:ascii="Open Sans" w:hAnsi="Open Sans" w:cs="Open Sans"/>
          <w:b/>
          <w:color w:val="000000" w:themeColor="text1"/>
        </w:rPr>
        <w:t xml:space="preserve">Valoración del riesgo: </w:t>
      </w:r>
      <w:r w:rsidRPr="006812C9">
        <w:rPr>
          <w:rFonts w:ascii="Open Sans" w:hAnsi="Open Sans" w:cs="Open Sans"/>
          <w:color w:val="000000" w:themeColor="text1"/>
        </w:rPr>
        <w:t>Proceso global de análisis y evaluación del riesgo.</w:t>
      </w:r>
      <w:r w:rsidRPr="006812C9">
        <w:rPr>
          <w:rFonts w:ascii="Open Sans" w:hAnsi="Open Sans" w:cs="Open Sans"/>
          <w:color w:val="000000" w:themeColor="text1"/>
          <w:sz w:val="24"/>
        </w:rPr>
        <w:br w:type="page"/>
      </w:r>
    </w:p>
    <w:p w14:paraId="5219DF8D" w14:textId="77777777" w:rsidR="000F099B" w:rsidRDefault="000F099B" w:rsidP="00187127">
      <w:pPr>
        <w:pStyle w:val="Ttulo1"/>
        <w:keepNext/>
        <w:keepLines/>
        <w:widowControl/>
        <w:numPr>
          <w:ilvl w:val="0"/>
          <w:numId w:val="7"/>
        </w:numPr>
        <w:autoSpaceDE/>
        <w:autoSpaceDN/>
        <w:spacing w:before="320" w:after="40"/>
        <w:ind w:left="426"/>
        <w:jc w:val="both"/>
        <w:rPr>
          <w:rFonts w:ascii="Open Sans" w:hAnsi="Open Sans" w:cs="Open Sans"/>
          <w:lang w:val="es-CO"/>
        </w:rPr>
      </w:pPr>
      <w:bookmarkStart w:id="6" w:name="_Toc496775773"/>
      <w:bookmarkStart w:id="7" w:name="_Toc496816514"/>
      <w:bookmarkStart w:id="8" w:name="_Toc497141470"/>
      <w:bookmarkStart w:id="9" w:name="_Toc518815687"/>
      <w:bookmarkStart w:id="10" w:name="_Toc528775193"/>
      <w:bookmarkStart w:id="11" w:name="_Toc496775774"/>
      <w:bookmarkStart w:id="12" w:name="_Toc496816515"/>
      <w:bookmarkStart w:id="13" w:name="_Toc497141471"/>
      <w:r w:rsidRPr="00433AFD">
        <w:rPr>
          <w:rFonts w:ascii="Open Sans" w:hAnsi="Open Sans" w:cs="Open Sans"/>
          <w:lang w:val="es-CO"/>
        </w:rPr>
        <w:lastRenderedPageBreak/>
        <w:t>METODOLOGÍA DESARROLLADA</w:t>
      </w:r>
      <w:bookmarkStart w:id="14" w:name="_Toc518815688"/>
      <w:bookmarkEnd w:id="6"/>
      <w:bookmarkEnd w:id="7"/>
      <w:bookmarkEnd w:id="8"/>
      <w:bookmarkEnd w:id="9"/>
      <w:bookmarkEnd w:id="10"/>
    </w:p>
    <w:bookmarkEnd w:id="14"/>
    <w:p w14:paraId="45A213A4" w14:textId="77777777" w:rsidR="000F099B" w:rsidRDefault="000F099B" w:rsidP="000F099B">
      <w:pPr>
        <w:rPr>
          <w:rFonts w:ascii="Open Sans" w:hAnsi="Open Sans" w:cs="Open Sans"/>
          <w:color w:val="000000" w:themeColor="text1"/>
          <w:szCs w:val="24"/>
        </w:rPr>
      </w:pPr>
    </w:p>
    <w:p w14:paraId="75D8583C" w14:textId="77777777" w:rsidR="000F099B" w:rsidRDefault="000F099B" w:rsidP="000F099B">
      <w:pPr>
        <w:rPr>
          <w:rFonts w:ascii="Open Sans" w:hAnsi="Open Sans" w:cs="Open Sans"/>
          <w:color w:val="000000" w:themeColor="text1"/>
          <w:szCs w:val="24"/>
        </w:rPr>
      </w:pPr>
      <w:r w:rsidRPr="006812C9">
        <w:rPr>
          <w:rFonts w:ascii="Open Sans" w:hAnsi="Open Sans" w:cs="Open Sans"/>
          <w:color w:val="000000" w:themeColor="text1"/>
          <w:szCs w:val="24"/>
        </w:rPr>
        <w:t>Para el desarrollo del Análisis de Brechas, basado en la norma ISO/IEC 27001:2013, se ejecutaron las siguientes actividades:</w:t>
      </w:r>
    </w:p>
    <w:p w14:paraId="07BDF7F3" w14:textId="77777777" w:rsidR="000F099B" w:rsidRPr="003C6A9E" w:rsidRDefault="000F099B" w:rsidP="000F099B">
      <w:pPr>
        <w:pStyle w:val="Sinespaciado"/>
      </w:pPr>
    </w:p>
    <w:p w14:paraId="1DDDEC63" w14:textId="77777777" w:rsidR="000F099B" w:rsidRDefault="000F099B" w:rsidP="00187127">
      <w:pPr>
        <w:pStyle w:val="TDC1"/>
        <w:widowControl/>
        <w:numPr>
          <w:ilvl w:val="0"/>
          <w:numId w:val="3"/>
        </w:numPr>
        <w:tabs>
          <w:tab w:val="left" w:pos="440"/>
          <w:tab w:val="right" w:leader="dot" w:pos="8828"/>
        </w:tabs>
        <w:autoSpaceDE/>
        <w:autoSpaceDN/>
        <w:spacing w:before="0"/>
        <w:jc w:val="both"/>
        <w:rPr>
          <w:color w:val="000000" w:themeColor="text1"/>
          <w:sz w:val="22"/>
        </w:rPr>
      </w:pPr>
      <w:r w:rsidRPr="003C6A9E">
        <w:rPr>
          <w:color w:val="000000" w:themeColor="text1"/>
          <w:sz w:val="22"/>
        </w:rPr>
        <w:t xml:space="preserve">Documentación: El análisis de la documentación </w:t>
      </w:r>
      <w:r>
        <w:rPr>
          <w:color w:val="000000" w:themeColor="text1"/>
          <w:sz w:val="22"/>
        </w:rPr>
        <w:t xml:space="preserve">existente en el INS </w:t>
      </w:r>
      <w:r w:rsidRPr="003C6A9E">
        <w:rPr>
          <w:color w:val="000000" w:themeColor="text1"/>
          <w:sz w:val="22"/>
        </w:rPr>
        <w:t xml:space="preserve">es el soporte y la evidencia para verificar el nivel de implementación de </w:t>
      </w:r>
      <w:r>
        <w:rPr>
          <w:color w:val="000000" w:themeColor="text1"/>
          <w:sz w:val="22"/>
        </w:rPr>
        <w:t xml:space="preserve">cada </w:t>
      </w:r>
      <w:r w:rsidRPr="003C6A9E">
        <w:rPr>
          <w:color w:val="000000" w:themeColor="text1"/>
          <w:sz w:val="22"/>
        </w:rPr>
        <w:t xml:space="preserve">cláusula y </w:t>
      </w:r>
      <w:r>
        <w:rPr>
          <w:color w:val="000000" w:themeColor="text1"/>
          <w:sz w:val="22"/>
        </w:rPr>
        <w:t>de cada</w:t>
      </w:r>
      <w:r w:rsidRPr="003C6A9E">
        <w:rPr>
          <w:color w:val="000000" w:themeColor="text1"/>
          <w:sz w:val="22"/>
        </w:rPr>
        <w:t xml:space="preserve"> objetivo de control de</w:t>
      </w:r>
      <w:r>
        <w:rPr>
          <w:color w:val="000000" w:themeColor="text1"/>
          <w:sz w:val="22"/>
        </w:rPr>
        <w:t>l estándar.</w:t>
      </w:r>
    </w:p>
    <w:p w14:paraId="65C253E6" w14:textId="77777777" w:rsidR="000F099B" w:rsidRPr="003C6A9E" w:rsidRDefault="000F099B" w:rsidP="000F099B"/>
    <w:p w14:paraId="6B1998C3" w14:textId="77777777" w:rsidR="000F099B" w:rsidRDefault="000F099B" w:rsidP="00187127">
      <w:pPr>
        <w:pStyle w:val="TDC1"/>
        <w:widowControl/>
        <w:numPr>
          <w:ilvl w:val="0"/>
          <w:numId w:val="3"/>
        </w:numPr>
        <w:tabs>
          <w:tab w:val="left" w:pos="440"/>
          <w:tab w:val="right" w:leader="dot" w:pos="8828"/>
        </w:tabs>
        <w:autoSpaceDE/>
        <w:autoSpaceDN/>
        <w:spacing w:before="0"/>
        <w:jc w:val="both"/>
        <w:rPr>
          <w:color w:val="000000" w:themeColor="text1"/>
          <w:sz w:val="22"/>
        </w:rPr>
      </w:pPr>
      <w:r w:rsidRPr="003C6A9E">
        <w:rPr>
          <w:color w:val="000000" w:themeColor="text1"/>
          <w:sz w:val="22"/>
        </w:rPr>
        <w:t xml:space="preserve">Instrumento de Evaluación: Elaboración del instrumento para el Análisis de Brechas. </w:t>
      </w:r>
    </w:p>
    <w:p w14:paraId="5006547E" w14:textId="77777777" w:rsidR="000F099B" w:rsidRPr="003C6A9E" w:rsidRDefault="000F099B" w:rsidP="000F099B"/>
    <w:p w14:paraId="1DE45618" w14:textId="77777777" w:rsidR="000F099B" w:rsidRDefault="000F099B" w:rsidP="00187127">
      <w:pPr>
        <w:pStyle w:val="TDC1"/>
        <w:widowControl/>
        <w:numPr>
          <w:ilvl w:val="0"/>
          <w:numId w:val="3"/>
        </w:numPr>
        <w:tabs>
          <w:tab w:val="left" w:pos="440"/>
          <w:tab w:val="right" w:leader="dot" w:pos="8828"/>
        </w:tabs>
        <w:autoSpaceDE/>
        <w:autoSpaceDN/>
        <w:spacing w:before="0"/>
        <w:jc w:val="both"/>
        <w:rPr>
          <w:color w:val="000000" w:themeColor="text1"/>
          <w:sz w:val="22"/>
        </w:rPr>
      </w:pPr>
      <w:r w:rsidRPr="003C6A9E">
        <w:rPr>
          <w:color w:val="000000" w:themeColor="text1"/>
          <w:sz w:val="22"/>
        </w:rPr>
        <w:t>Nivel de Madurez: Definir la escala de madurez para la evaluación del estado actual.</w:t>
      </w:r>
    </w:p>
    <w:p w14:paraId="5BC794E8" w14:textId="77777777" w:rsidR="000F099B" w:rsidRPr="003C6A9E" w:rsidRDefault="000F099B" w:rsidP="000F099B"/>
    <w:p w14:paraId="12A87F58" w14:textId="77777777" w:rsidR="000F099B" w:rsidRDefault="000F099B" w:rsidP="00187127">
      <w:pPr>
        <w:pStyle w:val="TDC1"/>
        <w:widowControl/>
        <w:numPr>
          <w:ilvl w:val="0"/>
          <w:numId w:val="3"/>
        </w:numPr>
        <w:tabs>
          <w:tab w:val="left" w:pos="440"/>
          <w:tab w:val="right" w:leader="dot" w:pos="8828"/>
        </w:tabs>
        <w:autoSpaceDE/>
        <w:autoSpaceDN/>
        <w:spacing w:before="0"/>
        <w:jc w:val="both"/>
        <w:rPr>
          <w:color w:val="000000" w:themeColor="text1"/>
          <w:sz w:val="22"/>
        </w:rPr>
      </w:pPr>
      <w:r w:rsidRPr="003C6A9E">
        <w:rPr>
          <w:color w:val="000000" w:themeColor="text1"/>
          <w:sz w:val="22"/>
        </w:rPr>
        <w:t xml:space="preserve">Entrevistas: En las entrevistas se determina con cada área según el dominio a ser analizado, el estado de cumplimiento de cada una de las cláusulas y objetivos de control </w:t>
      </w:r>
      <w:r>
        <w:rPr>
          <w:color w:val="000000" w:themeColor="text1"/>
          <w:sz w:val="22"/>
        </w:rPr>
        <w:t>del estándar</w:t>
      </w:r>
      <w:r w:rsidRPr="003C6A9E">
        <w:rPr>
          <w:color w:val="000000" w:themeColor="text1"/>
          <w:sz w:val="22"/>
        </w:rPr>
        <w:t xml:space="preserve"> y su nivel de madurez. </w:t>
      </w:r>
    </w:p>
    <w:p w14:paraId="652A1E7F" w14:textId="77777777" w:rsidR="000F099B" w:rsidRPr="003C6A9E" w:rsidRDefault="000F099B" w:rsidP="000F099B"/>
    <w:p w14:paraId="1BE0CB93" w14:textId="77777777" w:rsidR="000F099B" w:rsidRPr="006812C9" w:rsidRDefault="000F099B" w:rsidP="00187127">
      <w:pPr>
        <w:pStyle w:val="TDC1"/>
        <w:widowControl/>
        <w:numPr>
          <w:ilvl w:val="0"/>
          <w:numId w:val="3"/>
        </w:numPr>
        <w:tabs>
          <w:tab w:val="left" w:pos="440"/>
          <w:tab w:val="right" w:leader="dot" w:pos="8828"/>
        </w:tabs>
        <w:autoSpaceDE/>
        <w:autoSpaceDN/>
        <w:spacing w:before="0"/>
        <w:jc w:val="both"/>
        <w:rPr>
          <w:b w:val="0"/>
          <w:color w:val="000000" w:themeColor="text1"/>
          <w:sz w:val="22"/>
        </w:rPr>
      </w:pPr>
      <w:r w:rsidRPr="003C6A9E">
        <w:rPr>
          <w:color w:val="000000" w:themeColor="text1"/>
          <w:sz w:val="22"/>
        </w:rPr>
        <w:t>Análisis de Brechas: Revisión del cumplimiento y el nivel de madurez para cada uno de los</w:t>
      </w:r>
      <w:r w:rsidRPr="006812C9">
        <w:rPr>
          <w:color w:val="000000" w:themeColor="text1"/>
          <w:sz w:val="22"/>
        </w:rPr>
        <w:t xml:space="preserve"> requerimientos Mandatorios y del Anexo A, el cual se realizará como se describe a continuación:</w:t>
      </w:r>
    </w:p>
    <w:p w14:paraId="19EE8D4A" w14:textId="77777777" w:rsidR="000F099B" w:rsidRPr="006812C9" w:rsidRDefault="000F099B" w:rsidP="00187127">
      <w:pPr>
        <w:pStyle w:val="Prrafodelista"/>
        <w:widowControl/>
        <w:numPr>
          <w:ilvl w:val="0"/>
          <w:numId w:val="4"/>
        </w:numPr>
        <w:autoSpaceDE/>
        <w:autoSpaceDN/>
        <w:spacing w:after="200"/>
        <w:ind w:left="1134" w:hanging="425"/>
        <w:contextualSpacing/>
        <w:jc w:val="both"/>
        <w:rPr>
          <w:rFonts w:ascii="Open Sans" w:hAnsi="Open Sans" w:cs="Open Sans"/>
          <w:color w:val="000000" w:themeColor="text1"/>
          <w:szCs w:val="24"/>
        </w:rPr>
      </w:pPr>
      <w:r w:rsidRPr="006812C9">
        <w:rPr>
          <w:rFonts w:ascii="Open Sans" w:hAnsi="Open Sans" w:cs="Open Sans"/>
          <w:color w:val="000000" w:themeColor="text1"/>
          <w:szCs w:val="24"/>
        </w:rPr>
        <w:t xml:space="preserve">Identificar y registrar las evidencias de implementación de cada requisito </w:t>
      </w:r>
      <w:r>
        <w:rPr>
          <w:rFonts w:ascii="Open Sans" w:hAnsi="Open Sans" w:cs="Open Sans"/>
          <w:color w:val="000000" w:themeColor="text1"/>
          <w:szCs w:val="24"/>
        </w:rPr>
        <w:t>del estándar</w:t>
      </w:r>
      <w:r w:rsidRPr="006812C9">
        <w:rPr>
          <w:rFonts w:ascii="Open Sans" w:hAnsi="Open Sans" w:cs="Open Sans"/>
          <w:color w:val="000000" w:themeColor="text1"/>
          <w:szCs w:val="24"/>
        </w:rPr>
        <w:t>.</w:t>
      </w:r>
    </w:p>
    <w:p w14:paraId="6FAEFCEA" w14:textId="77777777" w:rsidR="000F099B" w:rsidRDefault="000F099B" w:rsidP="00187127">
      <w:pPr>
        <w:pStyle w:val="Prrafodelista"/>
        <w:widowControl/>
        <w:numPr>
          <w:ilvl w:val="0"/>
          <w:numId w:val="4"/>
        </w:numPr>
        <w:autoSpaceDE/>
        <w:autoSpaceDN/>
        <w:spacing w:after="200"/>
        <w:ind w:left="1134" w:hanging="425"/>
        <w:contextualSpacing/>
        <w:jc w:val="both"/>
        <w:rPr>
          <w:rFonts w:ascii="Open Sans" w:hAnsi="Open Sans" w:cs="Open Sans"/>
          <w:color w:val="000000" w:themeColor="text1"/>
          <w:szCs w:val="24"/>
        </w:rPr>
      </w:pPr>
      <w:r w:rsidRPr="006812C9">
        <w:rPr>
          <w:rFonts w:ascii="Open Sans" w:hAnsi="Open Sans" w:cs="Open Sans"/>
          <w:color w:val="000000" w:themeColor="text1"/>
          <w:szCs w:val="24"/>
        </w:rPr>
        <w:t xml:space="preserve">Asignar una valoración cualitativa de cada requerimiento, según las evidencias identificadas </w:t>
      </w:r>
      <w:r w:rsidR="004D22CB" w:rsidRPr="006812C9">
        <w:rPr>
          <w:rFonts w:ascii="Open Sans" w:hAnsi="Open Sans" w:cs="Open Sans"/>
          <w:color w:val="000000" w:themeColor="text1"/>
          <w:szCs w:val="24"/>
        </w:rPr>
        <w:t>de acuerdo con</w:t>
      </w:r>
      <w:r w:rsidRPr="006812C9">
        <w:rPr>
          <w:rFonts w:ascii="Open Sans" w:hAnsi="Open Sans" w:cs="Open Sans"/>
          <w:color w:val="000000" w:themeColor="text1"/>
          <w:szCs w:val="24"/>
        </w:rPr>
        <w:t xml:space="preserve"> la valoración de la Tabla </w:t>
      </w:r>
      <w:r>
        <w:rPr>
          <w:rFonts w:ascii="Open Sans" w:hAnsi="Open Sans" w:cs="Open Sans"/>
          <w:color w:val="000000" w:themeColor="text1"/>
          <w:szCs w:val="24"/>
        </w:rPr>
        <w:t>4</w:t>
      </w:r>
      <w:r w:rsidRPr="006812C9">
        <w:rPr>
          <w:rFonts w:ascii="Open Sans" w:hAnsi="Open Sans" w:cs="Open Sans"/>
          <w:color w:val="000000" w:themeColor="text1"/>
          <w:szCs w:val="24"/>
        </w:rPr>
        <w:t xml:space="preserve">.  Escala de valoración </w:t>
      </w:r>
      <w:r>
        <w:rPr>
          <w:rFonts w:ascii="Open Sans" w:hAnsi="Open Sans" w:cs="Open Sans"/>
          <w:color w:val="000000" w:themeColor="text1"/>
          <w:szCs w:val="24"/>
        </w:rPr>
        <w:t>del</w:t>
      </w:r>
      <w:r w:rsidRPr="006812C9">
        <w:rPr>
          <w:rFonts w:ascii="Open Sans" w:hAnsi="Open Sans" w:cs="Open Sans"/>
          <w:color w:val="000000" w:themeColor="text1"/>
          <w:szCs w:val="24"/>
        </w:rPr>
        <w:t xml:space="preserve"> cumpl</w:t>
      </w:r>
      <w:r>
        <w:rPr>
          <w:rFonts w:ascii="Open Sans" w:hAnsi="Open Sans" w:cs="Open Sans"/>
          <w:color w:val="000000" w:themeColor="text1"/>
          <w:szCs w:val="24"/>
        </w:rPr>
        <w:t>imiento.</w:t>
      </w:r>
    </w:p>
    <w:p w14:paraId="27297D38" w14:textId="77777777" w:rsidR="000F099B" w:rsidRDefault="000F099B" w:rsidP="000F099B">
      <w:pPr>
        <w:pStyle w:val="Prrafodelista"/>
        <w:spacing w:after="200"/>
        <w:ind w:left="1134"/>
        <w:rPr>
          <w:rFonts w:ascii="Open Sans" w:hAnsi="Open Sans" w:cs="Open Sans"/>
          <w:color w:val="000000" w:themeColor="text1"/>
          <w:szCs w:val="24"/>
        </w:rPr>
      </w:pPr>
    </w:p>
    <w:p w14:paraId="7DB58982" w14:textId="77777777" w:rsidR="000F099B" w:rsidRDefault="000F099B" w:rsidP="00187127">
      <w:pPr>
        <w:pStyle w:val="Prrafodelista"/>
        <w:widowControl/>
        <w:numPr>
          <w:ilvl w:val="0"/>
          <w:numId w:val="3"/>
        </w:numPr>
        <w:autoSpaceDE/>
        <w:autoSpaceDN/>
        <w:spacing w:after="200"/>
        <w:contextualSpacing/>
        <w:jc w:val="both"/>
        <w:rPr>
          <w:rFonts w:ascii="Open Sans" w:hAnsi="Open Sans" w:cs="Open Sans"/>
          <w:color w:val="000000" w:themeColor="text1"/>
          <w:szCs w:val="24"/>
        </w:rPr>
      </w:pPr>
      <w:r w:rsidRPr="006812C9">
        <w:rPr>
          <w:rFonts w:ascii="Open Sans" w:hAnsi="Open Sans" w:cs="Open Sans"/>
          <w:color w:val="000000" w:themeColor="text1"/>
          <w:szCs w:val="24"/>
        </w:rPr>
        <w:t>Definir el nivel de Madurez Actual frente a las buenas prácticas establecidas en la norma para el cumplimiento de la ISO/IEC 27001, como se puede apreciar en la Tabla 4. Escala de nivel de Madurez del SGSI.</w:t>
      </w:r>
    </w:p>
    <w:p w14:paraId="38693AF6" w14:textId="77777777" w:rsidR="000F099B" w:rsidRDefault="000F099B" w:rsidP="000F099B">
      <w:pPr>
        <w:pStyle w:val="Prrafodelista"/>
        <w:spacing w:after="200"/>
        <w:rPr>
          <w:rFonts w:ascii="Open Sans" w:hAnsi="Open Sans" w:cs="Open Sans"/>
          <w:color w:val="000000" w:themeColor="text1"/>
          <w:szCs w:val="24"/>
        </w:rPr>
      </w:pPr>
    </w:p>
    <w:p w14:paraId="3807B739" w14:textId="77777777" w:rsidR="000F099B" w:rsidRDefault="000F099B" w:rsidP="00187127">
      <w:pPr>
        <w:pStyle w:val="Prrafodelista"/>
        <w:widowControl/>
        <w:numPr>
          <w:ilvl w:val="0"/>
          <w:numId w:val="3"/>
        </w:numPr>
        <w:autoSpaceDE/>
        <w:autoSpaceDN/>
        <w:contextualSpacing/>
        <w:jc w:val="both"/>
        <w:rPr>
          <w:rFonts w:ascii="Open Sans" w:hAnsi="Open Sans" w:cs="Open Sans"/>
          <w:color w:val="000000" w:themeColor="text1"/>
          <w:szCs w:val="24"/>
        </w:rPr>
      </w:pPr>
      <w:r w:rsidRPr="006812C9">
        <w:rPr>
          <w:rFonts w:ascii="Open Sans" w:hAnsi="Open Sans" w:cs="Open Sans"/>
          <w:color w:val="000000" w:themeColor="text1"/>
          <w:szCs w:val="24"/>
        </w:rPr>
        <w:t xml:space="preserve">Presentación de Resultados: Presentar los resultados gráficos del Análisis de Brechas identificado </w:t>
      </w:r>
      <w:r w:rsidRPr="006812C9">
        <w:rPr>
          <w:rFonts w:ascii="Open Sans" w:hAnsi="Open Sans" w:cs="Open Sans"/>
          <w:color w:val="000000" w:themeColor="text1"/>
        </w:rPr>
        <w:t xml:space="preserve">en el </w:t>
      </w:r>
      <w:r>
        <w:rPr>
          <w:rFonts w:ascii="Open Sans" w:hAnsi="Open Sans" w:cs="Open Sans"/>
          <w:color w:val="000000" w:themeColor="text1"/>
        </w:rPr>
        <w:t>Instituto Nacional de Salud</w:t>
      </w:r>
      <w:r w:rsidRPr="006812C9">
        <w:rPr>
          <w:rFonts w:ascii="Open Sans" w:hAnsi="Open Sans" w:cs="Open Sans"/>
          <w:color w:val="000000" w:themeColor="text1"/>
          <w:szCs w:val="24"/>
        </w:rPr>
        <w:t xml:space="preserve"> con respecto al cumplimiento </w:t>
      </w:r>
      <w:r>
        <w:rPr>
          <w:rFonts w:ascii="Open Sans" w:hAnsi="Open Sans" w:cs="Open Sans"/>
          <w:color w:val="000000" w:themeColor="text1"/>
          <w:szCs w:val="24"/>
        </w:rPr>
        <w:t>del estándar</w:t>
      </w:r>
      <w:r w:rsidRPr="006812C9">
        <w:rPr>
          <w:rFonts w:ascii="Open Sans" w:hAnsi="Open Sans" w:cs="Open Sans"/>
          <w:color w:val="000000" w:themeColor="text1"/>
          <w:szCs w:val="24"/>
        </w:rPr>
        <w:t xml:space="preserve"> ISO/IEC 27001.</w:t>
      </w:r>
    </w:p>
    <w:p w14:paraId="1B0CE6F7" w14:textId="77777777" w:rsidR="000F099B" w:rsidRPr="006812C9" w:rsidRDefault="000F099B" w:rsidP="000F099B">
      <w:pPr>
        <w:pStyle w:val="Prrafodelista"/>
        <w:rPr>
          <w:rFonts w:ascii="Open Sans" w:hAnsi="Open Sans" w:cs="Open Sans"/>
          <w:color w:val="000000" w:themeColor="text1"/>
          <w:szCs w:val="24"/>
        </w:rPr>
      </w:pPr>
    </w:p>
    <w:p w14:paraId="590562BA" w14:textId="77777777" w:rsidR="000F099B" w:rsidRPr="004D22CB" w:rsidRDefault="000F099B" w:rsidP="00187127">
      <w:pPr>
        <w:pStyle w:val="Ttulo2"/>
        <w:keepNext/>
        <w:keepLines/>
        <w:widowControl/>
        <w:numPr>
          <w:ilvl w:val="1"/>
          <w:numId w:val="6"/>
        </w:numPr>
        <w:autoSpaceDE/>
        <w:autoSpaceDN/>
        <w:spacing w:before="120"/>
        <w:ind w:left="426"/>
        <w:jc w:val="both"/>
        <w:rPr>
          <w:rFonts w:ascii="Open Sans" w:hAnsi="Open Sans" w:cs="Open Sans"/>
          <w:color w:val="000000" w:themeColor="text1"/>
        </w:rPr>
      </w:pPr>
      <w:bookmarkStart w:id="15" w:name="_Toc528775194"/>
      <w:r w:rsidRPr="004D22CB">
        <w:rPr>
          <w:rFonts w:ascii="Open Sans" w:hAnsi="Open Sans" w:cs="Open Sans"/>
          <w:color w:val="000000" w:themeColor="text1"/>
        </w:rPr>
        <w:t xml:space="preserve">EQUIPO DE TRABAJO </w:t>
      </w:r>
      <w:bookmarkEnd w:id="11"/>
      <w:bookmarkEnd w:id="12"/>
      <w:bookmarkEnd w:id="13"/>
      <w:bookmarkEnd w:id="15"/>
    </w:p>
    <w:p w14:paraId="3EA960F9" w14:textId="77777777" w:rsidR="000F099B" w:rsidRDefault="000F099B" w:rsidP="000F099B">
      <w:pPr>
        <w:rPr>
          <w:rFonts w:ascii="Open Sans" w:hAnsi="Open Sans" w:cs="Open Sans"/>
          <w:color w:val="000000" w:themeColor="text1"/>
          <w:szCs w:val="24"/>
        </w:rPr>
      </w:pPr>
      <w:r w:rsidRPr="006812C9">
        <w:rPr>
          <w:rFonts w:ascii="Open Sans" w:hAnsi="Open Sans" w:cs="Open Sans"/>
          <w:color w:val="000000" w:themeColor="text1"/>
          <w:szCs w:val="24"/>
        </w:rPr>
        <w:t xml:space="preserve">En la siguiente tabla se presenta el </w:t>
      </w:r>
      <w:r w:rsidR="004D22CB" w:rsidRPr="006812C9">
        <w:rPr>
          <w:rFonts w:ascii="Open Sans" w:hAnsi="Open Sans" w:cs="Open Sans"/>
          <w:color w:val="000000" w:themeColor="text1"/>
          <w:szCs w:val="24"/>
        </w:rPr>
        <w:t>equipo con</w:t>
      </w:r>
      <w:r w:rsidRPr="006812C9">
        <w:rPr>
          <w:rFonts w:ascii="Open Sans" w:hAnsi="Open Sans" w:cs="Open Sans"/>
          <w:color w:val="000000" w:themeColor="text1"/>
          <w:szCs w:val="24"/>
        </w:rPr>
        <w:t xml:space="preserve"> su correspondiente rol dentro del proyecto</w:t>
      </w:r>
      <w:r>
        <w:rPr>
          <w:rFonts w:ascii="Open Sans" w:hAnsi="Open Sans" w:cs="Open Sans"/>
          <w:color w:val="000000" w:themeColor="text1"/>
          <w:szCs w:val="24"/>
        </w:rPr>
        <w:t>:</w:t>
      </w:r>
    </w:p>
    <w:p w14:paraId="02F9FD6A" w14:textId="77777777" w:rsidR="000F099B" w:rsidRPr="002A27F4" w:rsidRDefault="000F099B" w:rsidP="000F099B">
      <w:pPr>
        <w:pStyle w:val="Sinespaciad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5523"/>
      </w:tblGrid>
      <w:tr w:rsidR="000F099B" w:rsidRPr="006812C9" w14:paraId="12790337" w14:textId="77777777" w:rsidTr="000F099B">
        <w:trPr>
          <w:jc w:val="center"/>
        </w:trPr>
        <w:tc>
          <w:tcPr>
            <w:tcW w:w="2132" w:type="pct"/>
            <w:shd w:val="clear" w:color="auto" w:fill="D9D9D9" w:themeFill="background1" w:themeFillShade="D9"/>
          </w:tcPr>
          <w:p w14:paraId="4B7B6D86" w14:textId="77777777" w:rsidR="000F099B" w:rsidRPr="00CD6775" w:rsidRDefault="000F099B" w:rsidP="000F099B">
            <w:pPr>
              <w:jc w:val="center"/>
              <w:rPr>
                <w:rFonts w:ascii="Open Sans" w:eastAsia="Times New Roman" w:hAnsi="Open Sans" w:cs="Open Sans"/>
                <w:b/>
                <w:bCs/>
                <w:color w:val="000000" w:themeColor="text1"/>
                <w:szCs w:val="24"/>
                <w:lang w:val="es-CO" w:eastAsia="es-CO"/>
              </w:rPr>
            </w:pPr>
            <w:r w:rsidRPr="00CD6775">
              <w:rPr>
                <w:rFonts w:ascii="Open Sans" w:eastAsia="Times New Roman" w:hAnsi="Open Sans" w:cs="Open Sans"/>
                <w:b/>
                <w:bCs/>
                <w:color w:val="000000" w:themeColor="text1"/>
                <w:szCs w:val="24"/>
                <w:lang w:val="es-CO" w:eastAsia="es-CO"/>
              </w:rPr>
              <w:t>Consultor</w:t>
            </w:r>
          </w:p>
        </w:tc>
        <w:tc>
          <w:tcPr>
            <w:tcW w:w="2868" w:type="pct"/>
            <w:shd w:val="clear" w:color="auto" w:fill="D9D9D9" w:themeFill="background1" w:themeFillShade="D9"/>
          </w:tcPr>
          <w:p w14:paraId="5925995A" w14:textId="77777777" w:rsidR="000F099B" w:rsidRPr="00CD6775" w:rsidRDefault="000F099B" w:rsidP="000F099B">
            <w:pPr>
              <w:jc w:val="center"/>
              <w:rPr>
                <w:rFonts w:ascii="Open Sans" w:eastAsia="Times New Roman" w:hAnsi="Open Sans" w:cs="Open Sans"/>
                <w:b/>
                <w:bCs/>
                <w:color w:val="000000" w:themeColor="text1"/>
                <w:szCs w:val="24"/>
                <w:lang w:val="es-CO" w:eastAsia="es-CO"/>
              </w:rPr>
            </w:pPr>
            <w:r w:rsidRPr="00CD6775">
              <w:rPr>
                <w:rFonts w:ascii="Open Sans" w:eastAsia="Times New Roman" w:hAnsi="Open Sans" w:cs="Open Sans"/>
                <w:b/>
                <w:bCs/>
                <w:color w:val="000000" w:themeColor="text1"/>
                <w:szCs w:val="24"/>
                <w:lang w:val="es-CO" w:eastAsia="es-CO"/>
              </w:rPr>
              <w:t>Rol</w:t>
            </w:r>
          </w:p>
        </w:tc>
      </w:tr>
      <w:tr w:rsidR="000F099B" w:rsidRPr="006812C9" w14:paraId="4AAADD5A" w14:textId="77777777" w:rsidTr="000F099B">
        <w:trPr>
          <w:jc w:val="center"/>
        </w:trPr>
        <w:tc>
          <w:tcPr>
            <w:tcW w:w="2132" w:type="pct"/>
          </w:tcPr>
          <w:p w14:paraId="477D0F93" w14:textId="77777777" w:rsidR="000F099B" w:rsidRPr="006812C9" w:rsidRDefault="004D22CB" w:rsidP="000F099B">
            <w:pPr>
              <w:rPr>
                <w:rFonts w:ascii="Open Sans" w:hAnsi="Open Sans" w:cs="Open Sans"/>
                <w:color w:val="000000" w:themeColor="text1"/>
                <w:szCs w:val="24"/>
              </w:rPr>
            </w:pPr>
            <w:r>
              <w:rPr>
                <w:rFonts w:ascii="Open Sans" w:hAnsi="Open Sans" w:cs="Open Sans"/>
                <w:color w:val="000000" w:themeColor="text1"/>
                <w:szCs w:val="24"/>
              </w:rPr>
              <w:t>Elsa Marlen Baracaldo Huertas</w:t>
            </w:r>
          </w:p>
        </w:tc>
        <w:tc>
          <w:tcPr>
            <w:tcW w:w="2868" w:type="pct"/>
          </w:tcPr>
          <w:p w14:paraId="23CB55E4" w14:textId="77777777" w:rsidR="000F099B" w:rsidRPr="006812C9" w:rsidRDefault="004D22CB" w:rsidP="000F099B">
            <w:pPr>
              <w:rPr>
                <w:rFonts w:ascii="Open Sans" w:hAnsi="Open Sans" w:cs="Open Sans"/>
                <w:color w:val="000000" w:themeColor="text1"/>
                <w:szCs w:val="24"/>
              </w:rPr>
            </w:pPr>
            <w:r>
              <w:rPr>
                <w:rFonts w:ascii="Open Sans" w:hAnsi="Open Sans" w:cs="Open Sans"/>
              </w:rPr>
              <w:t>Oficial de seguridad</w:t>
            </w:r>
          </w:p>
        </w:tc>
      </w:tr>
      <w:tr w:rsidR="000F099B" w:rsidRPr="006812C9" w14:paraId="30CB896F" w14:textId="77777777" w:rsidTr="000F099B">
        <w:trPr>
          <w:jc w:val="center"/>
        </w:trPr>
        <w:tc>
          <w:tcPr>
            <w:tcW w:w="2132" w:type="pct"/>
          </w:tcPr>
          <w:p w14:paraId="17FA9127" w14:textId="77777777" w:rsidR="000F099B" w:rsidRPr="006812C9" w:rsidRDefault="004D22CB" w:rsidP="000F099B">
            <w:pPr>
              <w:rPr>
                <w:rFonts w:ascii="Open Sans" w:hAnsi="Open Sans" w:cs="Open Sans"/>
                <w:color w:val="000000" w:themeColor="text1"/>
                <w:szCs w:val="24"/>
              </w:rPr>
            </w:pPr>
            <w:r>
              <w:rPr>
                <w:rFonts w:ascii="Open Sans" w:hAnsi="Open Sans" w:cs="Open Sans"/>
              </w:rPr>
              <w:t xml:space="preserve">Elizabeth Lopez </w:t>
            </w:r>
            <w:proofErr w:type="spellStart"/>
            <w:r>
              <w:rPr>
                <w:rFonts w:ascii="Open Sans" w:hAnsi="Open Sans" w:cs="Open Sans"/>
              </w:rPr>
              <w:t>Lopez</w:t>
            </w:r>
            <w:proofErr w:type="spellEnd"/>
          </w:p>
        </w:tc>
        <w:tc>
          <w:tcPr>
            <w:tcW w:w="2868" w:type="pct"/>
          </w:tcPr>
          <w:p w14:paraId="029F3547" w14:textId="77777777" w:rsidR="000F099B" w:rsidRDefault="004D22CB" w:rsidP="000F099B">
            <w:pPr>
              <w:rPr>
                <w:rFonts w:ascii="Open Sans" w:hAnsi="Open Sans" w:cs="Open Sans"/>
                <w:color w:val="000000" w:themeColor="text1"/>
                <w:szCs w:val="24"/>
              </w:rPr>
            </w:pPr>
            <w:r>
              <w:rPr>
                <w:rFonts w:ascii="Open Sans" w:hAnsi="Open Sans" w:cs="Open Sans"/>
              </w:rPr>
              <w:t>P</w:t>
            </w:r>
            <w:r>
              <w:rPr>
                <w:rFonts w:ascii="Open Sans" w:hAnsi="Open Sans"/>
              </w:rPr>
              <w:t>rofesional Especializado</w:t>
            </w:r>
          </w:p>
        </w:tc>
      </w:tr>
      <w:tr w:rsidR="000F099B" w:rsidRPr="006812C9" w14:paraId="0C688D1A" w14:textId="77777777" w:rsidTr="000F099B">
        <w:trPr>
          <w:jc w:val="center"/>
        </w:trPr>
        <w:tc>
          <w:tcPr>
            <w:tcW w:w="2132" w:type="pct"/>
          </w:tcPr>
          <w:p w14:paraId="0B643A5A" w14:textId="77777777" w:rsidR="000F099B" w:rsidRPr="006812C9" w:rsidRDefault="004D22CB" w:rsidP="000F099B">
            <w:pPr>
              <w:rPr>
                <w:rFonts w:ascii="Open Sans" w:hAnsi="Open Sans" w:cs="Open Sans"/>
                <w:color w:val="000000" w:themeColor="text1"/>
                <w:szCs w:val="24"/>
              </w:rPr>
            </w:pPr>
            <w:r>
              <w:rPr>
                <w:rFonts w:ascii="Open Sans" w:hAnsi="Open Sans" w:cs="Open Sans"/>
              </w:rPr>
              <w:t>Jairo Gomez Mariño</w:t>
            </w:r>
          </w:p>
        </w:tc>
        <w:tc>
          <w:tcPr>
            <w:tcW w:w="2868" w:type="pct"/>
          </w:tcPr>
          <w:p w14:paraId="1F1F3CB4" w14:textId="77777777" w:rsidR="000F099B" w:rsidRDefault="004D22CB" w:rsidP="000F099B">
            <w:pPr>
              <w:rPr>
                <w:rFonts w:ascii="Open Sans" w:hAnsi="Open Sans" w:cs="Open Sans"/>
                <w:color w:val="000000" w:themeColor="text1"/>
                <w:szCs w:val="24"/>
              </w:rPr>
            </w:pPr>
            <w:r>
              <w:rPr>
                <w:rFonts w:ascii="Open Sans" w:hAnsi="Open Sans" w:cs="Open Sans"/>
                <w:color w:val="000000" w:themeColor="text1"/>
                <w:szCs w:val="24"/>
              </w:rPr>
              <w:t>P</w:t>
            </w:r>
            <w:r>
              <w:rPr>
                <w:rFonts w:ascii="Open Sans" w:hAnsi="Open Sans"/>
                <w:color w:val="000000" w:themeColor="text1"/>
                <w:szCs w:val="24"/>
              </w:rPr>
              <w:t>rofesional Especializado</w:t>
            </w:r>
          </w:p>
        </w:tc>
      </w:tr>
    </w:tbl>
    <w:p w14:paraId="21F9CB68" w14:textId="77777777" w:rsidR="000F099B" w:rsidRDefault="000F099B" w:rsidP="000F099B">
      <w:pPr>
        <w:pStyle w:val="Descripcin"/>
        <w:jc w:val="center"/>
        <w:rPr>
          <w:rFonts w:cs="Open Sans"/>
          <w:b/>
          <w:color w:val="000000" w:themeColor="text1"/>
          <w:szCs w:val="24"/>
        </w:rPr>
      </w:pPr>
      <w:bookmarkStart w:id="16" w:name="_Toc494148274"/>
      <w:bookmarkStart w:id="17" w:name="_Toc528828145"/>
      <w:r w:rsidRPr="006812C9">
        <w:rPr>
          <w:rFonts w:cs="Open Sans"/>
          <w:color w:val="000000" w:themeColor="text1"/>
          <w:szCs w:val="24"/>
        </w:rPr>
        <w:t xml:space="preserve">Tabla </w:t>
      </w:r>
      <w:r w:rsidRPr="006812C9">
        <w:rPr>
          <w:rFonts w:cs="Open Sans"/>
          <w:b/>
          <w:color w:val="000000" w:themeColor="text1"/>
          <w:szCs w:val="24"/>
        </w:rPr>
        <w:fldChar w:fldCharType="begin"/>
      </w:r>
      <w:r w:rsidRPr="006812C9">
        <w:rPr>
          <w:rFonts w:cs="Open Sans"/>
          <w:color w:val="000000" w:themeColor="text1"/>
          <w:szCs w:val="24"/>
        </w:rPr>
        <w:instrText xml:space="preserve"> SEQ Tabla \* ARABIC </w:instrText>
      </w:r>
      <w:r w:rsidRPr="006812C9">
        <w:rPr>
          <w:rFonts w:cs="Open Sans"/>
          <w:b/>
          <w:color w:val="000000" w:themeColor="text1"/>
          <w:szCs w:val="24"/>
        </w:rPr>
        <w:fldChar w:fldCharType="separate"/>
      </w:r>
      <w:r w:rsidR="0098415C">
        <w:rPr>
          <w:rFonts w:cs="Open Sans"/>
          <w:noProof/>
          <w:color w:val="000000" w:themeColor="text1"/>
          <w:szCs w:val="24"/>
        </w:rPr>
        <w:t>1</w:t>
      </w:r>
      <w:r w:rsidRPr="006812C9">
        <w:rPr>
          <w:rFonts w:cs="Open Sans"/>
          <w:b/>
          <w:color w:val="000000" w:themeColor="text1"/>
          <w:szCs w:val="24"/>
        </w:rPr>
        <w:fldChar w:fldCharType="end"/>
      </w:r>
      <w:r w:rsidRPr="006812C9">
        <w:rPr>
          <w:rFonts w:cs="Open Sans"/>
          <w:color w:val="000000" w:themeColor="text1"/>
          <w:szCs w:val="24"/>
        </w:rPr>
        <w:t>.Equipo de traba</w:t>
      </w:r>
      <w:bookmarkEnd w:id="16"/>
      <w:r w:rsidR="004D22CB">
        <w:rPr>
          <w:rFonts w:cs="Open Sans"/>
          <w:color w:val="000000" w:themeColor="text1"/>
          <w:szCs w:val="24"/>
        </w:rPr>
        <w:t xml:space="preserve">jo </w:t>
      </w:r>
      <w:bookmarkEnd w:id="17"/>
    </w:p>
    <w:p w14:paraId="06FD07A9" w14:textId="77777777" w:rsidR="000F099B" w:rsidRDefault="000F099B" w:rsidP="000F099B">
      <w:pPr>
        <w:spacing w:after="160" w:line="252" w:lineRule="auto"/>
      </w:pPr>
      <w:r>
        <w:br w:type="page"/>
      </w:r>
    </w:p>
    <w:p w14:paraId="341B9EAF" w14:textId="77777777" w:rsidR="000F099B" w:rsidRPr="006812C9" w:rsidRDefault="000F099B" w:rsidP="00187127">
      <w:pPr>
        <w:pStyle w:val="Ttulo2"/>
        <w:keepNext/>
        <w:keepLines/>
        <w:widowControl/>
        <w:numPr>
          <w:ilvl w:val="1"/>
          <w:numId w:val="6"/>
        </w:numPr>
        <w:autoSpaceDE/>
        <w:autoSpaceDN/>
        <w:spacing w:before="120"/>
        <w:ind w:left="426"/>
        <w:jc w:val="both"/>
        <w:rPr>
          <w:rFonts w:ascii="Open Sans" w:hAnsi="Open Sans" w:cs="Open Sans"/>
          <w:color w:val="000000" w:themeColor="text1"/>
        </w:rPr>
      </w:pPr>
      <w:bookmarkStart w:id="18" w:name="_Toc518771189"/>
      <w:r w:rsidRPr="006812C9">
        <w:rPr>
          <w:rFonts w:ascii="Open Sans" w:hAnsi="Open Sans" w:cs="Open Sans"/>
          <w:color w:val="000000" w:themeColor="text1"/>
        </w:rPr>
        <w:lastRenderedPageBreak/>
        <w:t xml:space="preserve"> </w:t>
      </w:r>
      <w:bookmarkStart w:id="19" w:name="_Toc518815689"/>
      <w:bookmarkStart w:id="20" w:name="_Toc528775195"/>
      <w:r w:rsidRPr="006812C9">
        <w:rPr>
          <w:rFonts w:ascii="Open Sans" w:hAnsi="Open Sans" w:cs="Open Sans"/>
          <w:color w:val="000000" w:themeColor="text1"/>
        </w:rPr>
        <w:t xml:space="preserve">EQUIPO DE TRABAJO </w:t>
      </w:r>
      <w:bookmarkEnd w:id="18"/>
      <w:r>
        <w:rPr>
          <w:rFonts w:ascii="Open Sans" w:hAnsi="Open Sans" w:cs="Open Sans"/>
          <w:color w:val="000000" w:themeColor="text1"/>
        </w:rPr>
        <w:t>INSTITUTO NACIONAL DE SALUD</w:t>
      </w:r>
      <w:bookmarkEnd w:id="19"/>
      <w:bookmarkEnd w:id="20"/>
    </w:p>
    <w:p w14:paraId="22A37392" w14:textId="77777777" w:rsidR="000F099B" w:rsidRPr="006812C9" w:rsidRDefault="000F099B" w:rsidP="000F099B">
      <w:pPr>
        <w:rPr>
          <w:rFonts w:ascii="Open Sans" w:hAnsi="Open Sans" w:cs="Open Sans"/>
          <w:color w:val="000000" w:themeColor="text1"/>
        </w:rPr>
      </w:pPr>
    </w:p>
    <w:p w14:paraId="73957344" w14:textId="77777777" w:rsidR="000F099B" w:rsidRDefault="000F099B" w:rsidP="000F099B">
      <w:pPr>
        <w:rPr>
          <w:rFonts w:ascii="Open Sans" w:hAnsi="Open Sans" w:cs="Open Sans"/>
          <w:color w:val="000000" w:themeColor="text1"/>
          <w:szCs w:val="24"/>
        </w:rPr>
      </w:pPr>
      <w:r w:rsidRPr="006812C9">
        <w:rPr>
          <w:rFonts w:ascii="Open Sans" w:hAnsi="Open Sans" w:cs="Open Sans"/>
          <w:color w:val="000000" w:themeColor="text1"/>
          <w:szCs w:val="24"/>
        </w:rPr>
        <w:t xml:space="preserve">En la siguiente tabla se presenta el equipo por parte </w:t>
      </w:r>
      <w:r w:rsidRPr="006812C9">
        <w:rPr>
          <w:rFonts w:ascii="Open Sans" w:hAnsi="Open Sans" w:cs="Open Sans"/>
          <w:color w:val="000000" w:themeColor="text1"/>
        </w:rPr>
        <w:t xml:space="preserve">del </w:t>
      </w:r>
      <w:r>
        <w:rPr>
          <w:rFonts w:ascii="Open Sans" w:hAnsi="Open Sans" w:cs="Open Sans"/>
          <w:color w:val="000000" w:themeColor="text1"/>
        </w:rPr>
        <w:t>Instituto Nacional de Salud</w:t>
      </w:r>
      <w:r w:rsidRPr="006812C9">
        <w:rPr>
          <w:rFonts w:ascii="Open Sans" w:hAnsi="Open Sans" w:cs="Open Sans"/>
          <w:color w:val="000000" w:themeColor="text1"/>
          <w:szCs w:val="24"/>
        </w:rPr>
        <w:t xml:space="preserve"> que interactúo para lograr los objetivos de esta fase.</w:t>
      </w:r>
    </w:p>
    <w:p w14:paraId="4773DFA1" w14:textId="77777777" w:rsidR="000F099B" w:rsidRPr="009B6610" w:rsidRDefault="000F099B" w:rsidP="000F099B">
      <w:pPr>
        <w:pStyle w:val="Sinespaciad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089"/>
      </w:tblGrid>
      <w:tr w:rsidR="000F099B" w:rsidRPr="006812C9" w14:paraId="4B073B53" w14:textId="77777777" w:rsidTr="000F099B">
        <w:trPr>
          <w:trHeight w:val="265"/>
          <w:jc w:val="center"/>
        </w:trPr>
        <w:tc>
          <w:tcPr>
            <w:tcW w:w="1838" w:type="pct"/>
            <w:shd w:val="clear" w:color="auto" w:fill="D9D9D9" w:themeFill="background1" w:themeFillShade="D9"/>
          </w:tcPr>
          <w:p w14:paraId="4356FAEE" w14:textId="77777777" w:rsidR="000F099B" w:rsidRPr="00330B9D" w:rsidRDefault="000F099B" w:rsidP="000F099B">
            <w:pPr>
              <w:jc w:val="center"/>
              <w:rPr>
                <w:rFonts w:ascii="Calibri" w:eastAsia="Times New Roman" w:hAnsi="Calibri" w:cs="Calibri"/>
                <w:b/>
                <w:bCs/>
                <w:color w:val="000000"/>
                <w:lang w:val="es-CO" w:eastAsia="es-CO"/>
              </w:rPr>
            </w:pPr>
            <w:r w:rsidRPr="00330B9D">
              <w:rPr>
                <w:rFonts w:ascii="Calibri" w:eastAsia="Times New Roman" w:hAnsi="Calibri" w:cs="Calibri"/>
                <w:b/>
                <w:bCs/>
                <w:color w:val="000000"/>
                <w:lang w:val="es-CO" w:eastAsia="es-CO"/>
              </w:rPr>
              <w:t>Nombre</w:t>
            </w:r>
          </w:p>
        </w:tc>
        <w:tc>
          <w:tcPr>
            <w:tcW w:w="3162" w:type="pct"/>
            <w:shd w:val="clear" w:color="auto" w:fill="D9D9D9" w:themeFill="background1" w:themeFillShade="D9"/>
          </w:tcPr>
          <w:p w14:paraId="7AE55553" w14:textId="77777777" w:rsidR="000F099B" w:rsidRPr="00330B9D" w:rsidRDefault="000F099B" w:rsidP="000F099B">
            <w:pPr>
              <w:jc w:val="center"/>
              <w:rPr>
                <w:rFonts w:ascii="Calibri" w:eastAsia="Times New Roman" w:hAnsi="Calibri" w:cs="Calibri"/>
                <w:b/>
                <w:bCs/>
                <w:color w:val="000000"/>
                <w:lang w:val="es-CO" w:eastAsia="es-CO"/>
              </w:rPr>
            </w:pPr>
            <w:r w:rsidRPr="00330B9D">
              <w:rPr>
                <w:rFonts w:ascii="Calibri" w:eastAsia="Times New Roman" w:hAnsi="Calibri" w:cs="Calibri"/>
                <w:b/>
                <w:bCs/>
                <w:color w:val="000000"/>
                <w:lang w:val="es-CO" w:eastAsia="es-CO"/>
              </w:rPr>
              <w:t>Rol</w:t>
            </w:r>
          </w:p>
        </w:tc>
      </w:tr>
      <w:tr w:rsidR="000F099B" w:rsidRPr="006812C9" w14:paraId="7B8438A7" w14:textId="77777777" w:rsidTr="000F099B">
        <w:trPr>
          <w:trHeight w:val="281"/>
          <w:jc w:val="center"/>
        </w:trPr>
        <w:tc>
          <w:tcPr>
            <w:tcW w:w="1838" w:type="pct"/>
            <w:vAlign w:val="center"/>
          </w:tcPr>
          <w:p w14:paraId="6F7BC7D3" w14:textId="77777777" w:rsidR="000F099B" w:rsidRPr="00B76BD3" w:rsidRDefault="000F099B" w:rsidP="000F099B">
            <w:pPr>
              <w:rPr>
                <w:rFonts w:ascii="Open Sans" w:hAnsi="Open Sans" w:cs="Open Sans"/>
                <w:bCs/>
                <w:color w:val="000000" w:themeColor="text1"/>
                <w:szCs w:val="24"/>
              </w:rPr>
            </w:pPr>
            <w:r w:rsidRPr="00B76BD3">
              <w:rPr>
                <w:rFonts w:ascii="Open Sans" w:hAnsi="Open Sans" w:cs="Open Sans"/>
                <w:bCs/>
                <w:color w:val="000000" w:themeColor="text1"/>
                <w:szCs w:val="24"/>
              </w:rPr>
              <w:t>Elsa Baracaldo</w:t>
            </w:r>
          </w:p>
        </w:tc>
        <w:tc>
          <w:tcPr>
            <w:tcW w:w="3162" w:type="pct"/>
            <w:vAlign w:val="center"/>
          </w:tcPr>
          <w:p w14:paraId="7AADE056" w14:textId="77777777" w:rsidR="000F099B" w:rsidRPr="00B76BD3" w:rsidRDefault="000F099B" w:rsidP="000F099B">
            <w:pPr>
              <w:rPr>
                <w:rFonts w:ascii="Open Sans" w:hAnsi="Open Sans" w:cs="Open Sans"/>
                <w:bCs/>
                <w:color w:val="000000" w:themeColor="text1"/>
                <w:szCs w:val="24"/>
              </w:rPr>
            </w:pPr>
            <w:r w:rsidRPr="00B76BD3">
              <w:rPr>
                <w:rFonts w:ascii="Open Sans" w:hAnsi="Open Sans" w:cs="Open Sans"/>
                <w:bCs/>
                <w:color w:val="000000" w:themeColor="text1"/>
                <w:szCs w:val="24"/>
              </w:rPr>
              <w:t>Jefe OTIC</w:t>
            </w:r>
          </w:p>
        </w:tc>
      </w:tr>
      <w:tr w:rsidR="000F099B" w:rsidRPr="006812C9" w14:paraId="16C5C964" w14:textId="77777777" w:rsidTr="000F099B">
        <w:trPr>
          <w:trHeight w:val="281"/>
          <w:jc w:val="center"/>
        </w:trPr>
        <w:tc>
          <w:tcPr>
            <w:tcW w:w="1838" w:type="pct"/>
            <w:vAlign w:val="center"/>
          </w:tcPr>
          <w:p w14:paraId="1A7E50C9" w14:textId="77777777" w:rsidR="000F099B" w:rsidRPr="00B76BD3" w:rsidRDefault="000F099B" w:rsidP="000F099B">
            <w:pPr>
              <w:rPr>
                <w:rFonts w:ascii="Open Sans" w:hAnsi="Open Sans" w:cs="Open Sans"/>
                <w:bCs/>
                <w:color w:val="000000" w:themeColor="text1"/>
                <w:szCs w:val="24"/>
              </w:rPr>
            </w:pPr>
            <w:r w:rsidRPr="00B76BD3">
              <w:rPr>
                <w:rFonts w:ascii="Open Sans" w:hAnsi="Open Sans" w:cs="Open Sans"/>
                <w:bCs/>
                <w:color w:val="000000" w:themeColor="text1"/>
                <w:szCs w:val="24"/>
              </w:rPr>
              <w:t>Elizabeth López</w:t>
            </w:r>
          </w:p>
        </w:tc>
        <w:tc>
          <w:tcPr>
            <w:tcW w:w="3162" w:type="pct"/>
            <w:vAlign w:val="center"/>
          </w:tcPr>
          <w:p w14:paraId="7AEDFB12" w14:textId="77777777" w:rsidR="000F099B" w:rsidRPr="00B76BD3" w:rsidRDefault="000F099B" w:rsidP="000F099B">
            <w:pPr>
              <w:rPr>
                <w:rFonts w:ascii="Open Sans" w:hAnsi="Open Sans" w:cs="Open Sans"/>
                <w:bCs/>
                <w:color w:val="000000" w:themeColor="text1"/>
                <w:szCs w:val="24"/>
              </w:rPr>
            </w:pPr>
            <w:r w:rsidRPr="00B76BD3">
              <w:rPr>
                <w:rFonts w:ascii="Open Sans" w:hAnsi="Open Sans" w:cs="Open Sans"/>
                <w:bCs/>
                <w:color w:val="000000" w:themeColor="text1"/>
                <w:szCs w:val="24"/>
              </w:rPr>
              <w:t>Profesional Especializado</w:t>
            </w:r>
          </w:p>
        </w:tc>
      </w:tr>
      <w:tr w:rsidR="000F099B" w:rsidRPr="006812C9" w14:paraId="04AC1633" w14:textId="77777777" w:rsidTr="000F099B">
        <w:trPr>
          <w:trHeight w:val="281"/>
          <w:jc w:val="center"/>
        </w:trPr>
        <w:tc>
          <w:tcPr>
            <w:tcW w:w="1838" w:type="pct"/>
            <w:vAlign w:val="center"/>
          </w:tcPr>
          <w:p w14:paraId="3CCBD1E0" w14:textId="77777777" w:rsidR="000F099B" w:rsidRPr="00B76BD3" w:rsidRDefault="000F099B" w:rsidP="000F099B">
            <w:pPr>
              <w:rPr>
                <w:rFonts w:ascii="Open Sans" w:hAnsi="Open Sans" w:cs="Open Sans"/>
                <w:bCs/>
                <w:color w:val="000000" w:themeColor="text1"/>
                <w:szCs w:val="24"/>
              </w:rPr>
            </w:pPr>
            <w:r w:rsidRPr="00B76BD3">
              <w:rPr>
                <w:rFonts w:ascii="Open Sans" w:hAnsi="Open Sans" w:cs="Open Sans"/>
                <w:bCs/>
                <w:color w:val="000000" w:themeColor="text1"/>
                <w:szCs w:val="24"/>
              </w:rPr>
              <w:t>Jairo Gómez</w:t>
            </w:r>
          </w:p>
        </w:tc>
        <w:tc>
          <w:tcPr>
            <w:tcW w:w="3162" w:type="pct"/>
            <w:vAlign w:val="center"/>
          </w:tcPr>
          <w:p w14:paraId="723F6254" w14:textId="77777777" w:rsidR="000F099B" w:rsidRPr="00B76BD3" w:rsidRDefault="000F099B" w:rsidP="000F099B">
            <w:pPr>
              <w:rPr>
                <w:rFonts w:ascii="Open Sans" w:hAnsi="Open Sans" w:cs="Open Sans"/>
                <w:bCs/>
                <w:color w:val="000000" w:themeColor="text1"/>
                <w:szCs w:val="24"/>
              </w:rPr>
            </w:pPr>
            <w:r w:rsidRPr="00B76BD3">
              <w:rPr>
                <w:rFonts w:ascii="Open Sans" w:hAnsi="Open Sans" w:cs="Open Sans"/>
                <w:bCs/>
                <w:color w:val="000000" w:themeColor="text1"/>
                <w:szCs w:val="24"/>
              </w:rPr>
              <w:t>Profesional Especializado</w:t>
            </w:r>
          </w:p>
        </w:tc>
      </w:tr>
    </w:tbl>
    <w:p w14:paraId="58DC425F" w14:textId="77777777" w:rsidR="000F099B" w:rsidRPr="006812C9" w:rsidRDefault="000F099B" w:rsidP="000F099B">
      <w:pPr>
        <w:pStyle w:val="Descripcin"/>
        <w:jc w:val="center"/>
        <w:rPr>
          <w:rFonts w:cs="Open Sans"/>
          <w:b/>
          <w:color w:val="000000" w:themeColor="text1"/>
          <w:szCs w:val="24"/>
        </w:rPr>
      </w:pPr>
      <w:bookmarkStart w:id="21" w:name="_Toc494148275"/>
      <w:bookmarkStart w:id="22" w:name="_Toc528828146"/>
      <w:r w:rsidRPr="006812C9">
        <w:rPr>
          <w:rFonts w:cs="Open Sans"/>
          <w:color w:val="000000" w:themeColor="text1"/>
          <w:szCs w:val="24"/>
        </w:rPr>
        <w:t xml:space="preserve">Tabla </w:t>
      </w:r>
      <w:r w:rsidRPr="006812C9">
        <w:rPr>
          <w:rFonts w:cs="Open Sans"/>
          <w:b/>
          <w:color w:val="000000" w:themeColor="text1"/>
          <w:szCs w:val="24"/>
        </w:rPr>
        <w:fldChar w:fldCharType="begin"/>
      </w:r>
      <w:r w:rsidRPr="006812C9">
        <w:rPr>
          <w:rFonts w:cs="Open Sans"/>
          <w:color w:val="000000" w:themeColor="text1"/>
          <w:szCs w:val="24"/>
        </w:rPr>
        <w:instrText xml:space="preserve"> SEQ Tabla \* ARABIC </w:instrText>
      </w:r>
      <w:r w:rsidRPr="006812C9">
        <w:rPr>
          <w:rFonts w:cs="Open Sans"/>
          <w:b/>
          <w:color w:val="000000" w:themeColor="text1"/>
          <w:szCs w:val="24"/>
        </w:rPr>
        <w:fldChar w:fldCharType="separate"/>
      </w:r>
      <w:r w:rsidR="0098415C">
        <w:rPr>
          <w:rFonts w:cs="Open Sans"/>
          <w:noProof/>
          <w:color w:val="000000" w:themeColor="text1"/>
          <w:szCs w:val="24"/>
        </w:rPr>
        <w:t>2</w:t>
      </w:r>
      <w:r w:rsidRPr="006812C9">
        <w:rPr>
          <w:rFonts w:cs="Open Sans"/>
          <w:b/>
          <w:color w:val="000000" w:themeColor="text1"/>
          <w:szCs w:val="24"/>
        </w:rPr>
        <w:fldChar w:fldCharType="end"/>
      </w:r>
      <w:r w:rsidRPr="006812C9">
        <w:rPr>
          <w:rFonts w:cs="Open Sans"/>
          <w:color w:val="000000" w:themeColor="text1"/>
          <w:szCs w:val="24"/>
        </w:rPr>
        <w:t xml:space="preserve">. Equipo de Trabajo </w:t>
      </w:r>
      <w:bookmarkEnd w:id="21"/>
      <w:r>
        <w:rPr>
          <w:rFonts w:cs="Open Sans"/>
          <w:color w:val="000000" w:themeColor="text1"/>
          <w:szCs w:val="24"/>
        </w:rPr>
        <w:t>Instituto Nacional de Salud</w:t>
      </w:r>
      <w:bookmarkEnd w:id="22"/>
    </w:p>
    <w:p w14:paraId="14EB17EC" w14:textId="77777777" w:rsidR="000F099B" w:rsidRDefault="000F099B" w:rsidP="000F099B">
      <w:pPr>
        <w:rPr>
          <w:rFonts w:ascii="Open Sans" w:hAnsi="Open Sans" w:cs="Open Sans"/>
          <w:color w:val="000000" w:themeColor="text1"/>
        </w:rPr>
      </w:pPr>
    </w:p>
    <w:p w14:paraId="1A01714F" w14:textId="77777777" w:rsidR="000F099B" w:rsidRDefault="000F099B" w:rsidP="00187127">
      <w:pPr>
        <w:pStyle w:val="Ttulo2"/>
        <w:keepNext/>
        <w:keepLines/>
        <w:widowControl/>
        <w:numPr>
          <w:ilvl w:val="1"/>
          <w:numId w:val="6"/>
        </w:numPr>
        <w:autoSpaceDE/>
        <w:autoSpaceDN/>
        <w:spacing w:before="120"/>
        <w:ind w:left="426"/>
        <w:jc w:val="both"/>
        <w:rPr>
          <w:rFonts w:ascii="Open Sans" w:hAnsi="Open Sans" w:cs="Open Sans"/>
          <w:color w:val="000000" w:themeColor="text1"/>
        </w:rPr>
      </w:pPr>
      <w:r>
        <w:rPr>
          <w:rFonts w:ascii="Open Sans" w:hAnsi="Open Sans" w:cs="Open Sans"/>
          <w:color w:val="000000" w:themeColor="text1"/>
        </w:rPr>
        <w:t xml:space="preserve">    </w:t>
      </w:r>
      <w:bookmarkStart w:id="23" w:name="_Toc528775196"/>
      <w:r>
        <w:rPr>
          <w:rFonts w:ascii="Open Sans" w:hAnsi="Open Sans" w:cs="Open Sans"/>
          <w:color w:val="000000" w:themeColor="text1"/>
        </w:rPr>
        <w:t>ENTREVISTAS REALIZADAS</w:t>
      </w:r>
      <w:bookmarkEnd w:id="23"/>
    </w:p>
    <w:p w14:paraId="44649C7F" w14:textId="77777777" w:rsidR="000F099B" w:rsidRPr="00586406" w:rsidRDefault="000F099B" w:rsidP="000F099B"/>
    <w:p w14:paraId="62D481D6" w14:textId="77777777" w:rsidR="000F099B" w:rsidRDefault="000F099B" w:rsidP="000F099B">
      <w:pPr>
        <w:rPr>
          <w:rFonts w:ascii="Open Sans" w:hAnsi="Open Sans" w:cs="Open Sans"/>
          <w:color w:val="000000" w:themeColor="text1"/>
          <w:szCs w:val="24"/>
        </w:rPr>
      </w:pPr>
      <w:r w:rsidRPr="006812C9">
        <w:rPr>
          <w:rFonts w:ascii="Open Sans" w:hAnsi="Open Sans" w:cs="Open Sans"/>
          <w:color w:val="000000" w:themeColor="text1"/>
          <w:szCs w:val="24"/>
        </w:rPr>
        <w:t xml:space="preserve">En la siguiente </w:t>
      </w:r>
      <w:r>
        <w:rPr>
          <w:rFonts w:ascii="Open Sans" w:hAnsi="Open Sans" w:cs="Open Sans"/>
          <w:color w:val="000000" w:themeColor="text1"/>
          <w:szCs w:val="24"/>
        </w:rPr>
        <w:t xml:space="preserve">tabla </w:t>
      </w:r>
      <w:r w:rsidRPr="006812C9">
        <w:rPr>
          <w:rFonts w:ascii="Open Sans" w:hAnsi="Open Sans" w:cs="Open Sans"/>
          <w:color w:val="000000" w:themeColor="text1"/>
          <w:szCs w:val="24"/>
        </w:rPr>
        <w:t>se presenta</w:t>
      </w:r>
      <w:r>
        <w:rPr>
          <w:rFonts w:ascii="Open Sans" w:hAnsi="Open Sans" w:cs="Open Sans"/>
          <w:color w:val="000000" w:themeColor="text1"/>
          <w:szCs w:val="24"/>
        </w:rPr>
        <w:t>n</w:t>
      </w:r>
      <w:r w:rsidRPr="006812C9">
        <w:rPr>
          <w:rFonts w:ascii="Open Sans" w:hAnsi="Open Sans" w:cs="Open Sans"/>
          <w:color w:val="000000" w:themeColor="text1"/>
          <w:szCs w:val="24"/>
        </w:rPr>
        <w:t xml:space="preserve"> </w:t>
      </w:r>
      <w:r>
        <w:rPr>
          <w:rFonts w:ascii="Open Sans" w:hAnsi="Open Sans" w:cs="Open Sans"/>
          <w:color w:val="000000" w:themeColor="text1"/>
          <w:szCs w:val="24"/>
        </w:rPr>
        <w:t xml:space="preserve">las entrevistas que se llevaron a cabo en </w:t>
      </w:r>
      <w:r w:rsidRPr="006812C9">
        <w:rPr>
          <w:rFonts w:ascii="Open Sans" w:hAnsi="Open Sans" w:cs="Open Sans"/>
          <w:color w:val="000000" w:themeColor="text1"/>
        </w:rPr>
        <w:t xml:space="preserve">el </w:t>
      </w:r>
      <w:r>
        <w:rPr>
          <w:rFonts w:ascii="Open Sans" w:hAnsi="Open Sans" w:cs="Open Sans"/>
          <w:color w:val="000000" w:themeColor="text1"/>
        </w:rPr>
        <w:t>Instituto Nacional de Salud</w:t>
      </w:r>
      <w:r>
        <w:rPr>
          <w:rFonts w:ascii="Open Sans" w:hAnsi="Open Sans" w:cs="Open Sans"/>
          <w:color w:val="000000" w:themeColor="text1"/>
          <w:szCs w:val="24"/>
        </w:rPr>
        <w:t>, para realizar el levantamiento de información necesaria para desarrollar el Análisis de Brechas en ISO27001</w:t>
      </w:r>
      <w:r w:rsidRPr="006812C9">
        <w:rPr>
          <w:rFonts w:ascii="Open Sans" w:hAnsi="Open Sans" w:cs="Open Sans"/>
          <w:color w:val="000000" w:themeColor="text1"/>
          <w:szCs w:val="24"/>
        </w:rPr>
        <w:t>.</w:t>
      </w:r>
    </w:p>
    <w:p w14:paraId="0D85D672" w14:textId="77777777" w:rsidR="000F099B" w:rsidRDefault="000F099B" w:rsidP="000F099B">
      <w:pPr>
        <w:pStyle w:val="Sinespaciado"/>
      </w:pPr>
    </w:p>
    <w:tbl>
      <w:tblPr>
        <w:tblW w:w="9348" w:type="dxa"/>
        <w:tblInd w:w="137" w:type="dxa"/>
        <w:tblCellMar>
          <w:left w:w="70" w:type="dxa"/>
          <w:right w:w="70" w:type="dxa"/>
        </w:tblCellMar>
        <w:tblLook w:val="04A0" w:firstRow="1" w:lastRow="0" w:firstColumn="1" w:lastColumn="0" w:noHBand="0" w:noVBand="1"/>
      </w:tblPr>
      <w:tblGrid>
        <w:gridCol w:w="2989"/>
        <w:gridCol w:w="5156"/>
        <w:gridCol w:w="1203"/>
      </w:tblGrid>
      <w:tr w:rsidR="000F099B" w:rsidRPr="00330B9D" w14:paraId="1D9CA6AF" w14:textId="77777777" w:rsidTr="000F099B">
        <w:trPr>
          <w:trHeight w:val="281"/>
        </w:trPr>
        <w:tc>
          <w:tcPr>
            <w:tcW w:w="29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28095E0" w14:textId="77777777" w:rsidR="000F099B" w:rsidRPr="00330B9D" w:rsidRDefault="000F099B" w:rsidP="000F099B">
            <w:pPr>
              <w:jc w:val="center"/>
              <w:rPr>
                <w:rFonts w:ascii="Calibri" w:eastAsia="Times New Roman" w:hAnsi="Calibri" w:cs="Calibri"/>
                <w:b/>
                <w:bCs/>
                <w:color w:val="000000"/>
                <w:lang w:val="es-CO" w:eastAsia="es-CO"/>
              </w:rPr>
            </w:pPr>
            <w:r w:rsidRPr="00330B9D">
              <w:rPr>
                <w:rFonts w:ascii="Calibri" w:eastAsia="Times New Roman" w:hAnsi="Calibri" w:cs="Calibri"/>
                <w:b/>
                <w:bCs/>
                <w:color w:val="000000"/>
                <w:lang w:val="es-CO" w:eastAsia="es-CO"/>
              </w:rPr>
              <w:t>Fecha</w:t>
            </w:r>
          </w:p>
        </w:tc>
        <w:tc>
          <w:tcPr>
            <w:tcW w:w="5156" w:type="dxa"/>
            <w:tcBorders>
              <w:top w:val="single" w:sz="4" w:space="0" w:color="auto"/>
              <w:left w:val="nil"/>
              <w:bottom w:val="single" w:sz="4" w:space="0" w:color="auto"/>
              <w:right w:val="single" w:sz="4" w:space="0" w:color="auto"/>
            </w:tcBorders>
            <w:shd w:val="clear" w:color="000000" w:fill="D9D9D9"/>
            <w:noWrap/>
            <w:vAlign w:val="bottom"/>
            <w:hideMark/>
          </w:tcPr>
          <w:p w14:paraId="7A0290A2" w14:textId="77777777" w:rsidR="000F099B" w:rsidRPr="00330B9D" w:rsidRDefault="000F099B" w:rsidP="000F099B">
            <w:pPr>
              <w:jc w:val="center"/>
              <w:rPr>
                <w:rFonts w:ascii="Calibri" w:eastAsia="Times New Roman" w:hAnsi="Calibri" w:cs="Calibri"/>
                <w:b/>
                <w:bCs/>
                <w:color w:val="000000"/>
                <w:lang w:val="es-CO" w:eastAsia="es-CO"/>
              </w:rPr>
            </w:pPr>
            <w:r w:rsidRPr="00330B9D">
              <w:rPr>
                <w:rFonts w:ascii="Calibri" w:eastAsia="Times New Roman" w:hAnsi="Calibri" w:cs="Calibri"/>
                <w:b/>
                <w:bCs/>
                <w:color w:val="000000"/>
                <w:lang w:val="es-CO" w:eastAsia="es-CO"/>
              </w:rPr>
              <w:t>Entrevista</w:t>
            </w:r>
          </w:p>
        </w:tc>
        <w:tc>
          <w:tcPr>
            <w:tcW w:w="1203" w:type="dxa"/>
            <w:tcBorders>
              <w:top w:val="single" w:sz="4" w:space="0" w:color="auto"/>
              <w:left w:val="nil"/>
              <w:bottom w:val="single" w:sz="4" w:space="0" w:color="auto"/>
              <w:right w:val="single" w:sz="4" w:space="0" w:color="auto"/>
            </w:tcBorders>
            <w:shd w:val="clear" w:color="000000" w:fill="D9D9D9"/>
            <w:noWrap/>
            <w:vAlign w:val="bottom"/>
            <w:hideMark/>
          </w:tcPr>
          <w:p w14:paraId="4F738405" w14:textId="77777777" w:rsidR="000F099B" w:rsidRPr="00330B9D" w:rsidRDefault="000F099B" w:rsidP="000F099B">
            <w:pPr>
              <w:jc w:val="center"/>
              <w:rPr>
                <w:rFonts w:ascii="Calibri" w:eastAsia="Times New Roman" w:hAnsi="Calibri" w:cs="Calibri"/>
                <w:b/>
                <w:bCs/>
                <w:color w:val="000000"/>
                <w:lang w:val="es-CO" w:eastAsia="es-CO"/>
              </w:rPr>
            </w:pPr>
            <w:r w:rsidRPr="00330B9D">
              <w:rPr>
                <w:rFonts w:ascii="Calibri" w:eastAsia="Times New Roman" w:hAnsi="Calibri" w:cs="Calibri"/>
                <w:b/>
                <w:bCs/>
                <w:color w:val="000000"/>
                <w:lang w:val="es-CO" w:eastAsia="es-CO"/>
              </w:rPr>
              <w:t>Tiempo</w:t>
            </w:r>
          </w:p>
        </w:tc>
      </w:tr>
      <w:tr w:rsidR="000F099B" w:rsidRPr="00330B9D" w14:paraId="38FB8A1A" w14:textId="77777777" w:rsidTr="000F099B">
        <w:trPr>
          <w:trHeight w:val="281"/>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1DB34C83"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Jueves, 13 de septiembre</w:t>
            </w:r>
          </w:p>
        </w:tc>
        <w:tc>
          <w:tcPr>
            <w:tcW w:w="5156" w:type="dxa"/>
            <w:tcBorders>
              <w:top w:val="nil"/>
              <w:left w:val="nil"/>
              <w:bottom w:val="single" w:sz="4" w:space="0" w:color="auto"/>
              <w:right w:val="single" w:sz="4" w:space="0" w:color="auto"/>
            </w:tcBorders>
            <w:shd w:val="clear" w:color="auto" w:fill="auto"/>
            <w:noWrap/>
            <w:vAlign w:val="bottom"/>
            <w:hideMark/>
          </w:tcPr>
          <w:p w14:paraId="028AF544"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R01 - Redes en Salud Pública</w:t>
            </w:r>
          </w:p>
        </w:tc>
        <w:tc>
          <w:tcPr>
            <w:tcW w:w="1203" w:type="dxa"/>
            <w:tcBorders>
              <w:top w:val="nil"/>
              <w:left w:val="nil"/>
              <w:bottom w:val="single" w:sz="4" w:space="0" w:color="auto"/>
              <w:right w:val="single" w:sz="4" w:space="0" w:color="auto"/>
            </w:tcBorders>
            <w:shd w:val="clear" w:color="auto" w:fill="auto"/>
            <w:noWrap/>
            <w:vAlign w:val="bottom"/>
            <w:hideMark/>
          </w:tcPr>
          <w:p w14:paraId="27EFE39B" w14:textId="77777777" w:rsidR="000F099B" w:rsidRPr="00330B9D" w:rsidRDefault="000F099B" w:rsidP="000F099B">
            <w:pPr>
              <w:jc w:val="cente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2 horas</w:t>
            </w:r>
          </w:p>
        </w:tc>
      </w:tr>
      <w:tr w:rsidR="000F099B" w:rsidRPr="00330B9D" w14:paraId="7A2599CD" w14:textId="77777777" w:rsidTr="000F099B">
        <w:trPr>
          <w:trHeight w:val="281"/>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24EDDB4B"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Martes, 18 de septiembre</w:t>
            </w:r>
          </w:p>
        </w:tc>
        <w:tc>
          <w:tcPr>
            <w:tcW w:w="5156" w:type="dxa"/>
            <w:tcBorders>
              <w:top w:val="nil"/>
              <w:left w:val="nil"/>
              <w:bottom w:val="single" w:sz="4" w:space="0" w:color="auto"/>
              <w:right w:val="single" w:sz="4" w:space="0" w:color="auto"/>
            </w:tcBorders>
            <w:shd w:val="clear" w:color="auto" w:fill="auto"/>
            <w:noWrap/>
            <w:vAlign w:val="bottom"/>
            <w:hideMark/>
          </w:tcPr>
          <w:p w14:paraId="54028989"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 xml:space="preserve">R02 - Vigilancia y Análisis del Riesgo en Salud Pública </w:t>
            </w:r>
          </w:p>
        </w:tc>
        <w:tc>
          <w:tcPr>
            <w:tcW w:w="1203" w:type="dxa"/>
            <w:tcBorders>
              <w:top w:val="nil"/>
              <w:left w:val="nil"/>
              <w:bottom w:val="single" w:sz="4" w:space="0" w:color="auto"/>
              <w:right w:val="single" w:sz="4" w:space="0" w:color="auto"/>
            </w:tcBorders>
            <w:shd w:val="clear" w:color="auto" w:fill="auto"/>
            <w:noWrap/>
            <w:vAlign w:val="bottom"/>
            <w:hideMark/>
          </w:tcPr>
          <w:p w14:paraId="00633CF1" w14:textId="77777777" w:rsidR="000F099B" w:rsidRPr="00330B9D" w:rsidRDefault="000F099B" w:rsidP="000F099B">
            <w:pPr>
              <w:jc w:val="cente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2 horas</w:t>
            </w:r>
          </w:p>
        </w:tc>
      </w:tr>
      <w:tr w:rsidR="000F099B" w:rsidRPr="00330B9D" w14:paraId="4DA8FA71" w14:textId="77777777" w:rsidTr="000F099B">
        <w:trPr>
          <w:trHeight w:val="281"/>
        </w:trPr>
        <w:tc>
          <w:tcPr>
            <w:tcW w:w="2989" w:type="dxa"/>
            <w:tcBorders>
              <w:top w:val="nil"/>
              <w:left w:val="single" w:sz="4" w:space="0" w:color="auto"/>
              <w:bottom w:val="single" w:sz="4" w:space="0" w:color="auto"/>
              <w:right w:val="single" w:sz="4" w:space="0" w:color="auto"/>
            </w:tcBorders>
            <w:shd w:val="clear" w:color="auto" w:fill="auto"/>
            <w:vAlign w:val="bottom"/>
            <w:hideMark/>
          </w:tcPr>
          <w:p w14:paraId="0F8A4CC8"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Lunes, 10 de septiembre</w:t>
            </w:r>
          </w:p>
        </w:tc>
        <w:tc>
          <w:tcPr>
            <w:tcW w:w="5156" w:type="dxa"/>
            <w:tcBorders>
              <w:top w:val="nil"/>
              <w:left w:val="nil"/>
              <w:bottom w:val="single" w:sz="4" w:space="0" w:color="auto"/>
              <w:right w:val="single" w:sz="4" w:space="0" w:color="auto"/>
            </w:tcBorders>
            <w:shd w:val="clear" w:color="auto" w:fill="auto"/>
            <w:noWrap/>
            <w:vAlign w:val="bottom"/>
            <w:hideMark/>
          </w:tcPr>
          <w:p w14:paraId="47B04788"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R03 - Investigación en Salud Pública</w:t>
            </w:r>
          </w:p>
        </w:tc>
        <w:tc>
          <w:tcPr>
            <w:tcW w:w="1203" w:type="dxa"/>
            <w:tcBorders>
              <w:top w:val="nil"/>
              <w:left w:val="nil"/>
              <w:bottom w:val="single" w:sz="4" w:space="0" w:color="auto"/>
              <w:right w:val="single" w:sz="4" w:space="0" w:color="auto"/>
            </w:tcBorders>
            <w:shd w:val="clear" w:color="auto" w:fill="auto"/>
            <w:noWrap/>
            <w:vAlign w:val="bottom"/>
            <w:hideMark/>
          </w:tcPr>
          <w:p w14:paraId="50B5130F" w14:textId="77777777" w:rsidR="000F099B" w:rsidRPr="00330B9D" w:rsidRDefault="000F099B" w:rsidP="000F099B">
            <w:pPr>
              <w:jc w:val="cente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2 horas</w:t>
            </w:r>
          </w:p>
        </w:tc>
      </w:tr>
      <w:tr w:rsidR="000F099B" w:rsidRPr="00330B9D" w14:paraId="1FA9B255" w14:textId="77777777" w:rsidTr="000F099B">
        <w:trPr>
          <w:trHeight w:val="281"/>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669CB2A4"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Martes, 11 de septiembre</w:t>
            </w:r>
          </w:p>
        </w:tc>
        <w:tc>
          <w:tcPr>
            <w:tcW w:w="5156" w:type="dxa"/>
            <w:tcBorders>
              <w:top w:val="nil"/>
              <w:left w:val="nil"/>
              <w:bottom w:val="single" w:sz="4" w:space="0" w:color="auto"/>
              <w:right w:val="single" w:sz="4" w:space="0" w:color="auto"/>
            </w:tcBorders>
            <w:shd w:val="clear" w:color="auto" w:fill="auto"/>
            <w:noWrap/>
            <w:vAlign w:val="bottom"/>
            <w:hideMark/>
          </w:tcPr>
          <w:p w14:paraId="247E2581"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 xml:space="preserve">R04 - Producción </w:t>
            </w:r>
          </w:p>
        </w:tc>
        <w:tc>
          <w:tcPr>
            <w:tcW w:w="1203" w:type="dxa"/>
            <w:tcBorders>
              <w:top w:val="nil"/>
              <w:left w:val="nil"/>
              <w:bottom w:val="single" w:sz="4" w:space="0" w:color="auto"/>
              <w:right w:val="single" w:sz="4" w:space="0" w:color="auto"/>
            </w:tcBorders>
            <w:shd w:val="clear" w:color="auto" w:fill="auto"/>
            <w:noWrap/>
            <w:vAlign w:val="bottom"/>
            <w:hideMark/>
          </w:tcPr>
          <w:p w14:paraId="16719D3C" w14:textId="77777777" w:rsidR="000F099B" w:rsidRPr="00330B9D" w:rsidRDefault="000F099B" w:rsidP="000F099B">
            <w:pPr>
              <w:jc w:val="cente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2 horas</w:t>
            </w:r>
          </w:p>
        </w:tc>
      </w:tr>
      <w:tr w:rsidR="000F099B" w:rsidRPr="00330B9D" w14:paraId="00FE5EBD" w14:textId="77777777" w:rsidTr="000F099B">
        <w:trPr>
          <w:trHeight w:val="281"/>
        </w:trPr>
        <w:tc>
          <w:tcPr>
            <w:tcW w:w="2989" w:type="dxa"/>
            <w:tcBorders>
              <w:top w:val="nil"/>
              <w:left w:val="single" w:sz="4" w:space="0" w:color="auto"/>
              <w:bottom w:val="single" w:sz="4" w:space="0" w:color="auto"/>
              <w:right w:val="single" w:sz="4" w:space="0" w:color="auto"/>
            </w:tcBorders>
            <w:shd w:val="clear" w:color="auto" w:fill="auto"/>
            <w:vAlign w:val="bottom"/>
            <w:hideMark/>
          </w:tcPr>
          <w:p w14:paraId="4C2B2ECF"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Lunes, 10 de septiembre</w:t>
            </w:r>
          </w:p>
        </w:tc>
        <w:tc>
          <w:tcPr>
            <w:tcW w:w="5156" w:type="dxa"/>
            <w:tcBorders>
              <w:top w:val="nil"/>
              <w:left w:val="nil"/>
              <w:bottom w:val="single" w:sz="4" w:space="0" w:color="auto"/>
              <w:right w:val="single" w:sz="4" w:space="0" w:color="auto"/>
            </w:tcBorders>
            <w:shd w:val="clear" w:color="auto" w:fill="auto"/>
            <w:noWrap/>
            <w:vAlign w:val="bottom"/>
            <w:hideMark/>
          </w:tcPr>
          <w:p w14:paraId="2FAFA36D"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R05 - Observatorio Nacional de Salud</w:t>
            </w:r>
          </w:p>
        </w:tc>
        <w:tc>
          <w:tcPr>
            <w:tcW w:w="1203" w:type="dxa"/>
            <w:tcBorders>
              <w:top w:val="nil"/>
              <w:left w:val="nil"/>
              <w:bottom w:val="single" w:sz="4" w:space="0" w:color="auto"/>
              <w:right w:val="single" w:sz="4" w:space="0" w:color="auto"/>
            </w:tcBorders>
            <w:shd w:val="clear" w:color="auto" w:fill="auto"/>
            <w:noWrap/>
            <w:vAlign w:val="bottom"/>
            <w:hideMark/>
          </w:tcPr>
          <w:p w14:paraId="001D597A" w14:textId="77777777" w:rsidR="000F099B" w:rsidRPr="00330B9D" w:rsidRDefault="000F099B" w:rsidP="000F099B">
            <w:pPr>
              <w:jc w:val="cente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2 horas</w:t>
            </w:r>
          </w:p>
        </w:tc>
      </w:tr>
      <w:tr w:rsidR="000F099B" w:rsidRPr="00330B9D" w14:paraId="54AE1930" w14:textId="77777777" w:rsidTr="000F099B">
        <w:trPr>
          <w:trHeight w:val="281"/>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39851BBB"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Lunes, 17 de septiembre</w:t>
            </w:r>
          </w:p>
        </w:tc>
        <w:tc>
          <w:tcPr>
            <w:tcW w:w="5156" w:type="dxa"/>
            <w:tcBorders>
              <w:top w:val="nil"/>
              <w:left w:val="nil"/>
              <w:bottom w:val="single" w:sz="4" w:space="0" w:color="auto"/>
              <w:right w:val="single" w:sz="4" w:space="0" w:color="auto"/>
            </w:tcBorders>
            <w:shd w:val="clear" w:color="auto" w:fill="auto"/>
            <w:noWrap/>
            <w:vAlign w:val="bottom"/>
            <w:hideMark/>
          </w:tcPr>
          <w:p w14:paraId="42859715"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A01 - Gestión Humana</w:t>
            </w:r>
          </w:p>
        </w:tc>
        <w:tc>
          <w:tcPr>
            <w:tcW w:w="1203" w:type="dxa"/>
            <w:tcBorders>
              <w:top w:val="nil"/>
              <w:left w:val="nil"/>
              <w:bottom w:val="single" w:sz="4" w:space="0" w:color="auto"/>
              <w:right w:val="single" w:sz="4" w:space="0" w:color="auto"/>
            </w:tcBorders>
            <w:shd w:val="clear" w:color="auto" w:fill="auto"/>
            <w:noWrap/>
            <w:vAlign w:val="bottom"/>
            <w:hideMark/>
          </w:tcPr>
          <w:p w14:paraId="1A01DDFE" w14:textId="77777777" w:rsidR="000F099B" w:rsidRPr="00330B9D" w:rsidRDefault="000F099B" w:rsidP="000F099B">
            <w:pPr>
              <w:jc w:val="cente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2 horas</w:t>
            </w:r>
          </w:p>
        </w:tc>
      </w:tr>
      <w:tr w:rsidR="000F099B" w:rsidRPr="00330B9D" w14:paraId="0DD99EB4" w14:textId="77777777" w:rsidTr="000F099B">
        <w:trPr>
          <w:trHeight w:val="281"/>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36091DF4"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Viernes, 14 de septiembre</w:t>
            </w:r>
          </w:p>
        </w:tc>
        <w:tc>
          <w:tcPr>
            <w:tcW w:w="5156" w:type="dxa"/>
            <w:tcBorders>
              <w:top w:val="nil"/>
              <w:left w:val="nil"/>
              <w:bottom w:val="single" w:sz="4" w:space="0" w:color="auto"/>
              <w:right w:val="single" w:sz="4" w:space="0" w:color="auto"/>
            </w:tcBorders>
            <w:shd w:val="clear" w:color="auto" w:fill="auto"/>
            <w:noWrap/>
            <w:vAlign w:val="bottom"/>
            <w:hideMark/>
          </w:tcPr>
          <w:p w14:paraId="16CEF97A"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A02 - Adquisición de Bienes y Servicios</w:t>
            </w:r>
          </w:p>
        </w:tc>
        <w:tc>
          <w:tcPr>
            <w:tcW w:w="1203" w:type="dxa"/>
            <w:tcBorders>
              <w:top w:val="nil"/>
              <w:left w:val="nil"/>
              <w:bottom w:val="single" w:sz="4" w:space="0" w:color="auto"/>
              <w:right w:val="single" w:sz="4" w:space="0" w:color="auto"/>
            </w:tcBorders>
            <w:shd w:val="clear" w:color="auto" w:fill="auto"/>
            <w:noWrap/>
            <w:vAlign w:val="bottom"/>
            <w:hideMark/>
          </w:tcPr>
          <w:p w14:paraId="1D457D03" w14:textId="77777777" w:rsidR="000F099B" w:rsidRPr="00330B9D" w:rsidRDefault="000F099B" w:rsidP="000F099B">
            <w:pPr>
              <w:jc w:val="cente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2 horas</w:t>
            </w:r>
          </w:p>
        </w:tc>
      </w:tr>
      <w:tr w:rsidR="000F099B" w:rsidRPr="00330B9D" w14:paraId="0542AB7D" w14:textId="77777777" w:rsidTr="000F099B">
        <w:trPr>
          <w:trHeight w:val="281"/>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70AA2539"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Viernes, 14 de septiembre</w:t>
            </w:r>
          </w:p>
        </w:tc>
        <w:tc>
          <w:tcPr>
            <w:tcW w:w="5156" w:type="dxa"/>
            <w:tcBorders>
              <w:top w:val="nil"/>
              <w:left w:val="nil"/>
              <w:bottom w:val="single" w:sz="4" w:space="0" w:color="auto"/>
              <w:right w:val="single" w:sz="4" w:space="0" w:color="auto"/>
            </w:tcBorders>
            <w:shd w:val="clear" w:color="auto" w:fill="auto"/>
            <w:noWrap/>
            <w:vAlign w:val="bottom"/>
            <w:hideMark/>
          </w:tcPr>
          <w:p w14:paraId="4A62E0A3"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A03 - Gestión Documental</w:t>
            </w:r>
          </w:p>
        </w:tc>
        <w:tc>
          <w:tcPr>
            <w:tcW w:w="1203" w:type="dxa"/>
            <w:tcBorders>
              <w:top w:val="nil"/>
              <w:left w:val="nil"/>
              <w:bottom w:val="single" w:sz="4" w:space="0" w:color="auto"/>
              <w:right w:val="single" w:sz="4" w:space="0" w:color="auto"/>
            </w:tcBorders>
            <w:shd w:val="clear" w:color="auto" w:fill="auto"/>
            <w:noWrap/>
            <w:vAlign w:val="bottom"/>
            <w:hideMark/>
          </w:tcPr>
          <w:p w14:paraId="4E509A77" w14:textId="77777777" w:rsidR="000F099B" w:rsidRPr="00330B9D" w:rsidRDefault="000F099B" w:rsidP="000F099B">
            <w:pPr>
              <w:jc w:val="cente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2 horas</w:t>
            </w:r>
          </w:p>
        </w:tc>
      </w:tr>
      <w:tr w:rsidR="000F099B" w:rsidRPr="00330B9D" w14:paraId="2F1CFCAF" w14:textId="77777777" w:rsidTr="000F099B">
        <w:trPr>
          <w:trHeight w:val="281"/>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69B98F3B"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Viernes, 14 de septiembre</w:t>
            </w:r>
          </w:p>
        </w:tc>
        <w:tc>
          <w:tcPr>
            <w:tcW w:w="5156" w:type="dxa"/>
            <w:tcBorders>
              <w:top w:val="nil"/>
              <w:left w:val="nil"/>
              <w:bottom w:val="single" w:sz="4" w:space="0" w:color="auto"/>
              <w:right w:val="single" w:sz="4" w:space="0" w:color="auto"/>
            </w:tcBorders>
            <w:shd w:val="clear" w:color="auto" w:fill="auto"/>
            <w:noWrap/>
            <w:vAlign w:val="bottom"/>
            <w:hideMark/>
          </w:tcPr>
          <w:p w14:paraId="0EB8CCD0"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A04 - Equipos de Laboratorio</w:t>
            </w:r>
          </w:p>
        </w:tc>
        <w:tc>
          <w:tcPr>
            <w:tcW w:w="1203" w:type="dxa"/>
            <w:tcBorders>
              <w:top w:val="nil"/>
              <w:left w:val="nil"/>
              <w:bottom w:val="single" w:sz="4" w:space="0" w:color="auto"/>
              <w:right w:val="single" w:sz="4" w:space="0" w:color="auto"/>
            </w:tcBorders>
            <w:shd w:val="clear" w:color="auto" w:fill="auto"/>
            <w:noWrap/>
            <w:vAlign w:val="bottom"/>
            <w:hideMark/>
          </w:tcPr>
          <w:p w14:paraId="6295FD22" w14:textId="77777777" w:rsidR="000F099B" w:rsidRPr="00330B9D" w:rsidRDefault="000F099B" w:rsidP="000F099B">
            <w:pPr>
              <w:jc w:val="cente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2 horas</w:t>
            </w:r>
          </w:p>
        </w:tc>
      </w:tr>
      <w:tr w:rsidR="000F099B" w:rsidRPr="00330B9D" w14:paraId="5C8C06A4" w14:textId="77777777" w:rsidTr="000F099B">
        <w:trPr>
          <w:trHeight w:val="281"/>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06169EAB"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Viernes, 14 de septiembre</w:t>
            </w:r>
          </w:p>
        </w:tc>
        <w:tc>
          <w:tcPr>
            <w:tcW w:w="5156" w:type="dxa"/>
            <w:tcBorders>
              <w:top w:val="nil"/>
              <w:left w:val="nil"/>
              <w:bottom w:val="single" w:sz="4" w:space="0" w:color="auto"/>
              <w:right w:val="single" w:sz="4" w:space="0" w:color="auto"/>
            </w:tcBorders>
            <w:shd w:val="clear" w:color="auto" w:fill="auto"/>
            <w:noWrap/>
            <w:vAlign w:val="bottom"/>
            <w:hideMark/>
          </w:tcPr>
          <w:p w14:paraId="2CD1B879"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A05 - Gestión Ambiental</w:t>
            </w:r>
          </w:p>
        </w:tc>
        <w:tc>
          <w:tcPr>
            <w:tcW w:w="1203" w:type="dxa"/>
            <w:tcBorders>
              <w:top w:val="nil"/>
              <w:left w:val="nil"/>
              <w:bottom w:val="single" w:sz="4" w:space="0" w:color="auto"/>
              <w:right w:val="single" w:sz="4" w:space="0" w:color="auto"/>
            </w:tcBorders>
            <w:shd w:val="clear" w:color="auto" w:fill="auto"/>
            <w:noWrap/>
            <w:vAlign w:val="bottom"/>
            <w:hideMark/>
          </w:tcPr>
          <w:p w14:paraId="049ED633" w14:textId="77777777" w:rsidR="000F099B" w:rsidRPr="00330B9D" w:rsidRDefault="000F099B" w:rsidP="000F099B">
            <w:pPr>
              <w:jc w:val="cente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2 horas</w:t>
            </w:r>
          </w:p>
        </w:tc>
      </w:tr>
      <w:tr w:rsidR="000F099B" w:rsidRPr="00330B9D" w14:paraId="15604CE0" w14:textId="77777777" w:rsidTr="000F099B">
        <w:trPr>
          <w:trHeight w:val="281"/>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02E7B08D"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Martes, 11 de septiembre</w:t>
            </w:r>
          </w:p>
        </w:tc>
        <w:tc>
          <w:tcPr>
            <w:tcW w:w="5156" w:type="dxa"/>
            <w:tcBorders>
              <w:top w:val="nil"/>
              <w:left w:val="nil"/>
              <w:bottom w:val="single" w:sz="4" w:space="0" w:color="auto"/>
              <w:right w:val="single" w:sz="4" w:space="0" w:color="auto"/>
            </w:tcBorders>
            <w:shd w:val="clear" w:color="auto" w:fill="auto"/>
            <w:noWrap/>
            <w:vAlign w:val="bottom"/>
            <w:hideMark/>
          </w:tcPr>
          <w:p w14:paraId="0D6CC514"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A07 - Gestión Jurídica</w:t>
            </w:r>
          </w:p>
        </w:tc>
        <w:tc>
          <w:tcPr>
            <w:tcW w:w="1203" w:type="dxa"/>
            <w:tcBorders>
              <w:top w:val="nil"/>
              <w:left w:val="nil"/>
              <w:bottom w:val="single" w:sz="4" w:space="0" w:color="auto"/>
              <w:right w:val="single" w:sz="4" w:space="0" w:color="auto"/>
            </w:tcBorders>
            <w:shd w:val="clear" w:color="auto" w:fill="auto"/>
            <w:noWrap/>
            <w:vAlign w:val="bottom"/>
            <w:hideMark/>
          </w:tcPr>
          <w:p w14:paraId="20D1380F" w14:textId="77777777" w:rsidR="000F099B" w:rsidRPr="00330B9D" w:rsidRDefault="000F099B" w:rsidP="000F099B">
            <w:pPr>
              <w:jc w:val="cente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2 horas</w:t>
            </w:r>
          </w:p>
        </w:tc>
      </w:tr>
      <w:tr w:rsidR="000F099B" w:rsidRPr="00330B9D" w14:paraId="0A8CB4EF" w14:textId="77777777" w:rsidTr="000F099B">
        <w:trPr>
          <w:trHeight w:val="281"/>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2A71F469"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Miércoles, 19 de septiembre</w:t>
            </w:r>
          </w:p>
        </w:tc>
        <w:tc>
          <w:tcPr>
            <w:tcW w:w="5156" w:type="dxa"/>
            <w:tcBorders>
              <w:top w:val="nil"/>
              <w:left w:val="nil"/>
              <w:bottom w:val="single" w:sz="4" w:space="0" w:color="auto"/>
              <w:right w:val="single" w:sz="4" w:space="0" w:color="auto"/>
            </w:tcBorders>
            <w:shd w:val="clear" w:color="auto" w:fill="auto"/>
            <w:noWrap/>
            <w:vAlign w:val="bottom"/>
            <w:hideMark/>
          </w:tcPr>
          <w:p w14:paraId="70BA1B1C"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A08 - Atención al Ciudadano</w:t>
            </w:r>
          </w:p>
        </w:tc>
        <w:tc>
          <w:tcPr>
            <w:tcW w:w="1203" w:type="dxa"/>
            <w:tcBorders>
              <w:top w:val="nil"/>
              <w:left w:val="nil"/>
              <w:bottom w:val="single" w:sz="4" w:space="0" w:color="auto"/>
              <w:right w:val="single" w:sz="4" w:space="0" w:color="auto"/>
            </w:tcBorders>
            <w:shd w:val="clear" w:color="auto" w:fill="auto"/>
            <w:noWrap/>
            <w:vAlign w:val="bottom"/>
            <w:hideMark/>
          </w:tcPr>
          <w:p w14:paraId="2EAEFF81" w14:textId="77777777" w:rsidR="000F099B" w:rsidRPr="00330B9D" w:rsidRDefault="000F099B" w:rsidP="000F099B">
            <w:pPr>
              <w:jc w:val="cente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2 horas</w:t>
            </w:r>
          </w:p>
        </w:tc>
      </w:tr>
      <w:tr w:rsidR="000F099B" w:rsidRPr="00330B9D" w14:paraId="64E7E0F4" w14:textId="77777777" w:rsidTr="000F099B">
        <w:trPr>
          <w:trHeight w:val="281"/>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5305E9B9"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Lunes, 17 de septiembre</w:t>
            </w:r>
          </w:p>
        </w:tc>
        <w:tc>
          <w:tcPr>
            <w:tcW w:w="5156" w:type="dxa"/>
            <w:tcBorders>
              <w:top w:val="nil"/>
              <w:left w:val="nil"/>
              <w:bottom w:val="single" w:sz="4" w:space="0" w:color="auto"/>
              <w:right w:val="single" w:sz="4" w:space="0" w:color="auto"/>
            </w:tcBorders>
            <w:shd w:val="clear" w:color="auto" w:fill="auto"/>
            <w:noWrap/>
            <w:vAlign w:val="bottom"/>
            <w:hideMark/>
          </w:tcPr>
          <w:p w14:paraId="24E44130"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A09 - Gestión Financiera </w:t>
            </w:r>
          </w:p>
        </w:tc>
        <w:tc>
          <w:tcPr>
            <w:tcW w:w="1203" w:type="dxa"/>
            <w:tcBorders>
              <w:top w:val="nil"/>
              <w:left w:val="nil"/>
              <w:bottom w:val="single" w:sz="4" w:space="0" w:color="auto"/>
              <w:right w:val="single" w:sz="4" w:space="0" w:color="auto"/>
            </w:tcBorders>
            <w:shd w:val="clear" w:color="auto" w:fill="auto"/>
            <w:noWrap/>
            <w:vAlign w:val="bottom"/>
            <w:hideMark/>
          </w:tcPr>
          <w:p w14:paraId="63A5A640" w14:textId="77777777" w:rsidR="000F099B" w:rsidRPr="00330B9D" w:rsidRDefault="000F099B" w:rsidP="000F099B">
            <w:pPr>
              <w:jc w:val="cente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2 horas</w:t>
            </w:r>
          </w:p>
        </w:tc>
      </w:tr>
      <w:tr w:rsidR="000F099B" w:rsidRPr="00330B9D" w14:paraId="09C5D444" w14:textId="77777777" w:rsidTr="000F099B">
        <w:trPr>
          <w:trHeight w:val="281"/>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2EADEC93"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Viernes, 14 de septiembre</w:t>
            </w:r>
          </w:p>
        </w:tc>
        <w:tc>
          <w:tcPr>
            <w:tcW w:w="5156" w:type="dxa"/>
            <w:tcBorders>
              <w:top w:val="nil"/>
              <w:left w:val="nil"/>
              <w:bottom w:val="single" w:sz="4" w:space="0" w:color="auto"/>
              <w:right w:val="single" w:sz="4" w:space="0" w:color="auto"/>
            </w:tcBorders>
            <w:shd w:val="clear" w:color="auto" w:fill="auto"/>
            <w:noWrap/>
            <w:vAlign w:val="bottom"/>
            <w:hideMark/>
          </w:tcPr>
          <w:p w14:paraId="61598783"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A10 - Recursos Físicos</w:t>
            </w:r>
          </w:p>
        </w:tc>
        <w:tc>
          <w:tcPr>
            <w:tcW w:w="1203" w:type="dxa"/>
            <w:tcBorders>
              <w:top w:val="nil"/>
              <w:left w:val="nil"/>
              <w:bottom w:val="single" w:sz="4" w:space="0" w:color="auto"/>
              <w:right w:val="single" w:sz="4" w:space="0" w:color="auto"/>
            </w:tcBorders>
            <w:shd w:val="clear" w:color="auto" w:fill="auto"/>
            <w:noWrap/>
            <w:vAlign w:val="bottom"/>
            <w:hideMark/>
          </w:tcPr>
          <w:p w14:paraId="42B08AB3" w14:textId="77777777" w:rsidR="000F099B" w:rsidRPr="00330B9D" w:rsidRDefault="000F099B" w:rsidP="000F099B">
            <w:pPr>
              <w:jc w:val="cente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2 horas</w:t>
            </w:r>
          </w:p>
        </w:tc>
      </w:tr>
      <w:tr w:rsidR="000F099B" w:rsidRPr="00330B9D" w14:paraId="290A1682" w14:textId="77777777" w:rsidTr="000F099B">
        <w:trPr>
          <w:trHeight w:val="281"/>
        </w:trPr>
        <w:tc>
          <w:tcPr>
            <w:tcW w:w="2989" w:type="dxa"/>
            <w:tcBorders>
              <w:top w:val="nil"/>
              <w:left w:val="single" w:sz="4" w:space="0" w:color="auto"/>
              <w:bottom w:val="single" w:sz="4" w:space="0" w:color="auto"/>
              <w:right w:val="single" w:sz="4" w:space="0" w:color="auto"/>
            </w:tcBorders>
            <w:shd w:val="clear" w:color="auto" w:fill="auto"/>
            <w:vAlign w:val="bottom"/>
            <w:hideMark/>
          </w:tcPr>
          <w:p w14:paraId="056CE303"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Lunes, 10 de septiembre</w:t>
            </w:r>
          </w:p>
        </w:tc>
        <w:tc>
          <w:tcPr>
            <w:tcW w:w="5156" w:type="dxa"/>
            <w:tcBorders>
              <w:top w:val="nil"/>
              <w:left w:val="nil"/>
              <w:bottom w:val="single" w:sz="4" w:space="0" w:color="auto"/>
              <w:right w:val="single" w:sz="4" w:space="0" w:color="auto"/>
            </w:tcBorders>
            <w:shd w:val="clear" w:color="auto" w:fill="auto"/>
            <w:noWrap/>
            <w:vAlign w:val="bottom"/>
            <w:hideMark/>
          </w:tcPr>
          <w:p w14:paraId="3D4DA74F"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D01 - Planeación Institucional</w:t>
            </w:r>
          </w:p>
        </w:tc>
        <w:tc>
          <w:tcPr>
            <w:tcW w:w="1203" w:type="dxa"/>
            <w:tcBorders>
              <w:top w:val="nil"/>
              <w:left w:val="nil"/>
              <w:bottom w:val="single" w:sz="4" w:space="0" w:color="auto"/>
              <w:right w:val="single" w:sz="4" w:space="0" w:color="auto"/>
            </w:tcBorders>
            <w:shd w:val="clear" w:color="auto" w:fill="auto"/>
            <w:noWrap/>
            <w:vAlign w:val="bottom"/>
            <w:hideMark/>
          </w:tcPr>
          <w:p w14:paraId="67184488" w14:textId="77777777" w:rsidR="000F099B" w:rsidRPr="00330B9D" w:rsidRDefault="000F099B" w:rsidP="000F099B">
            <w:pPr>
              <w:jc w:val="cente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2 horas</w:t>
            </w:r>
          </w:p>
        </w:tc>
      </w:tr>
      <w:tr w:rsidR="000F099B" w:rsidRPr="00330B9D" w14:paraId="214BE67E" w14:textId="77777777" w:rsidTr="000F099B">
        <w:trPr>
          <w:trHeight w:val="281"/>
        </w:trPr>
        <w:tc>
          <w:tcPr>
            <w:tcW w:w="2989" w:type="dxa"/>
            <w:tcBorders>
              <w:top w:val="nil"/>
              <w:left w:val="single" w:sz="4" w:space="0" w:color="auto"/>
              <w:bottom w:val="single" w:sz="4" w:space="0" w:color="auto"/>
              <w:right w:val="single" w:sz="4" w:space="0" w:color="auto"/>
            </w:tcBorders>
            <w:shd w:val="clear" w:color="auto" w:fill="auto"/>
            <w:vAlign w:val="bottom"/>
            <w:hideMark/>
          </w:tcPr>
          <w:p w14:paraId="030E51CC"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Lunes, 10 de septiembre</w:t>
            </w:r>
          </w:p>
        </w:tc>
        <w:tc>
          <w:tcPr>
            <w:tcW w:w="5156" w:type="dxa"/>
            <w:tcBorders>
              <w:top w:val="nil"/>
              <w:left w:val="nil"/>
              <w:bottom w:val="single" w:sz="4" w:space="0" w:color="auto"/>
              <w:right w:val="single" w:sz="4" w:space="0" w:color="auto"/>
            </w:tcBorders>
            <w:shd w:val="clear" w:color="auto" w:fill="auto"/>
            <w:noWrap/>
            <w:vAlign w:val="bottom"/>
            <w:hideMark/>
          </w:tcPr>
          <w:p w14:paraId="5764A70C"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D02 - Gestión de Calidad</w:t>
            </w:r>
          </w:p>
        </w:tc>
        <w:tc>
          <w:tcPr>
            <w:tcW w:w="1203" w:type="dxa"/>
            <w:tcBorders>
              <w:top w:val="nil"/>
              <w:left w:val="nil"/>
              <w:bottom w:val="single" w:sz="4" w:space="0" w:color="auto"/>
              <w:right w:val="single" w:sz="4" w:space="0" w:color="auto"/>
            </w:tcBorders>
            <w:shd w:val="clear" w:color="auto" w:fill="auto"/>
            <w:noWrap/>
            <w:vAlign w:val="bottom"/>
            <w:hideMark/>
          </w:tcPr>
          <w:p w14:paraId="4B694A15" w14:textId="77777777" w:rsidR="000F099B" w:rsidRPr="00330B9D" w:rsidRDefault="000F099B" w:rsidP="000F099B">
            <w:pPr>
              <w:jc w:val="cente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2 horas</w:t>
            </w:r>
          </w:p>
        </w:tc>
      </w:tr>
      <w:tr w:rsidR="000F099B" w:rsidRPr="00330B9D" w14:paraId="3E170777" w14:textId="77777777" w:rsidTr="000F099B">
        <w:trPr>
          <w:trHeight w:val="281"/>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77D62199"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Martes, 18 de septiembre</w:t>
            </w:r>
          </w:p>
        </w:tc>
        <w:tc>
          <w:tcPr>
            <w:tcW w:w="5156" w:type="dxa"/>
            <w:tcBorders>
              <w:top w:val="nil"/>
              <w:left w:val="nil"/>
              <w:bottom w:val="single" w:sz="4" w:space="0" w:color="auto"/>
              <w:right w:val="single" w:sz="4" w:space="0" w:color="auto"/>
            </w:tcBorders>
            <w:shd w:val="clear" w:color="auto" w:fill="auto"/>
            <w:noWrap/>
            <w:vAlign w:val="bottom"/>
            <w:hideMark/>
          </w:tcPr>
          <w:p w14:paraId="6CD3E2C4"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D03 - Comunicación Institucional</w:t>
            </w:r>
          </w:p>
        </w:tc>
        <w:tc>
          <w:tcPr>
            <w:tcW w:w="1203" w:type="dxa"/>
            <w:tcBorders>
              <w:top w:val="nil"/>
              <w:left w:val="nil"/>
              <w:bottom w:val="single" w:sz="4" w:space="0" w:color="auto"/>
              <w:right w:val="single" w:sz="4" w:space="0" w:color="auto"/>
            </w:tcBorders>
            <w:shd w:val="clear" w:color="auto" w:fill="auto"/>
            <w:noWrap/>
            <w:vAlign w:val="bottom"/>
            <w:hideMark/>
          </w:tcPr>
          <w:p w14:paraId="17AF6088" w14:textId="77777777" w:rsidR="000F099B" w:rsidRPr="00330B9D" w:rsidRDefault="000F099B" w:rsidP="000F099B">
            <w:pPr>
              <w:jc w:val="cente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2 horas</w:t>
            </w:r>
          </w:p>
        </w:tc>
      </w:tr>
      <w:tr w:rsidR="000F099B" w:rsidRPr="00330B9D" w14:paraId="36A9CCB8" w14:textId="77777777" w:rsidTr="000F099B">
        <w:trPr>
          <w:trHeight w:val="281"/>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148633B4"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Lunes, 17 de septiembre</w:t>
            </w:r>
          </w:p>
        </w:tc>
        <w:tc>
          <w:tcPr>
            <w:tcW w:w="5156" w:type="dxa"/>
            <w:tcBorders>
              <w:top w:val="nil"/>
              <w:left w:val="nil"/>
              <w:bottom w:val="single" w:sz="4" w:space="0" w:color="auto"/>
              <w:right w:val="single" w:sz="4" w:space="0" w:color="auto"/>
            </w:tcBorders>
            <w:shd w:val="clear" w:color="auto" w:fill="auto"/>
            <w:noWrap/>
            <w:vAlign w:val="bottom"/>
            <w:hideMark/>
          </w:tcPr>
          <w:p w14:paraId="7B7A4133"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D04 - Tecnologías de Información y Comunicaciones</w:t>
            </w:r>
          </w:p>
        </w:tc>
        <w:tc>
          <w:tcPr>
            <w:tcW w:w="1203" w:type="dxa"/>
            <w:tcBorders>
              <w:top w:val="nil"/>
              <w:left w:val="nil"/>
              <w:bottom w:val="single" w:sz="4" w:space="0" w:color="auto"/>
              <w:right w:val="single" w:sz="4" w:space="0" w:color="auto"/>
            </w:tcBorders>
            <w:shd w:val="clear" w:color="auto" w:fill="auto"/>
            <w:noWrap/>
            <w:vAlign w:val="bottom"/>
            <w:hideMark/>
          </w:tcPr>
          <w:p w14:paraId="1C24464E" w14:textId="77777777" w:rsidR="000F099B" w:rsidRPr="00330B9D" w:rsidRDefault="000F099B" w:rsidP="000F099B">
            <w:pPr>
              <w:jc w:val="cente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2 horas</w:t>
            </w:r>
          </w:p>
        </w:tc>
      </w:tr>
      <w:tr w:rsidR="000F099B" w:rsidRPr="00330B9D" w14:paraId="73AA146A" w14:textId="77777777" w:rsidTr="000F099B">
        <w:trPr>
          <w:trHeight w:val="281"/>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2B1F7308"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Lunes, 17 de septiembre</w:t>
            </w:r>
          </w:p>
        </w:tc>
        <w:tc>
          <w:tcPr>
            <w:tcW w:w="5156" w:type="dxa"/>
            <w:tcBorders>
              <w:top w:val="nil"/>
              <w:left w:val="nil"/>
              <w:bottom w:val="single" w:sz="4" w:space="0" w:color="auto"/>
              <w:right w:val="single" w:sz="4" w:space="0" w:color="auto"/>
            </w:tcBorders>
            <w:shd w:val="clear" w:color="auto" w:fill="auto"/>
            <w:noWrap/>
            <w:vAlign w:val="bottom"/>
            <w:hideMark/>
          </w:tcPr>
          <w:p w14:paraId="708CB89E"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E01 - Control Interno Institucional</w:t>
            </w:r>
          </w:p>
        </w:tc>
        <w:tc>
          <w:tcPr>
            <w:tcW w:w="1203" w:type="dxa"/>
            <w:tcBorders>
              <w:top w:val="nil"/>
              <w:left w:val="nil"/>
              <w:bottom w:val="single" w:sz="4" w:space="0" w:color="auto"/>
              <w:right w:val="single" w:sz="4" w:space="0" w:color="auto"/>
            </w:tcBorders>
            <w:shd w:val="clear" w:color="auto" w:fill="auto"/>
            <w:noWrap/>
            <w:vAlign w:val="bottom"/>
            <w:hideMark/>
          </w:tcPr>
          <w:p w14:paraId="619386DF" w14:textId="77777777" w:rsidR="000F099B" w:rsidRPr="00330B9D" w:rsidRDefault="000F099B" w:rsidP="000F099B">
            <w:pPr>
              <w:jc w:val="cente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2 horas</w:t>
            </w:r>
          </w:p>
        </w:tc>
      </w:tr>
      <w:tr w:rsidR="000F099B" w:rsidRPr="00330B9D" w14:paraId="1D0F01C5" w14:textId="77777777" w:rsidTr="000F099B">
        <w:trPr>
          <w:trHeight w:val="281"/>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5EDE2CED"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Martes, 18 de septiembre</w:t>
            </w:r>
          </w:p>
        </w:tc>
        <w:tc>
          <w:tcPr>
            <w:tcW w:w="5156" w:type="dxa"/>
            <w:tcBorders>
              <w:top w:val="nil"/>
              <w:left w:val="nil"/>
              <w:bottom w:val="single" w:sz="4" w:space="0" w:color="auto"/>
              <w:right w:val="single" w:sz="4" w:space="0" w:color="auto"/>
            </w:tcBorders>
            <w:shd w:val="clear" w:color="auto" w:fill="auto"/>
            <w:noWrap/>
            <w:vAlign w:val="bottom"/>
            <w:hideMark/>
          </w:tcPr>
          <w:p w14:paraId="0C6E7B35"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Dirección General - Asesores</w:t>
            </w:r>
          </w:p>
        </w:tc>
        <w:tc>
          <w:tcPr>
            <w:tcW w:w="1203" w:type="dxa"/>
            <w:tcBorders>
              <w:top w:val="nil"/>
              <w:left w:val="nil"/>
              <w:bottom w:val="single" w:sz="4" w:space="0" w:color="auto"/>
              <w:right w:val="single" w:sz="4" w:space="0" w:color="auto"/>
            </w:tcBorders>
            <w:shd w:val="clear" w:color="auto" w:fill="auto"/>
            <w:noWrap/>
            <w:vAlign w:val="bottom"/>
            <w:hideMark/>
          </w:tcPr>
          <w:p w14:paraId="05796471" w14:textId="77777777" w:rsidR="000F099B" w:rsidRPr="00330B9D" w:rsidRDefault="000F099B" w:rsidP="000F099B">
            <w:pPr>
              <w:jc w:val="cente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2 horas</w:t>
            </w:r>
          </w:p>
        </w:tc>
      </w:tr>
      <w:tr w:rsidR="000F099B" w:rsidRPr="00330B9D" w14:paraId="7D5A1542" w14:textId="77777777" w:rsidTr="000F099B">
        <w:trPr>
          <w:trHeight w:val="281"/>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63C39750"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Martes, 18 de septiembre</w:t>
            </w:r>
          </w:p>
        </w:tc>
        <w:tc>
          <w:tcPr>
            <w:tcW w:w="5156" w:type="dxa"/>
            <w:tcBorders>
              <w:top w:val="nil"/>
              <w:left w:val="nil"/>
              <w:bottom w:val="single" w:sz="4" w:space="0" w:color="auto"/>
              <w:right w:val="single" w:sz="4" w:space="0" w:color="auto"/>
            </w:tcBorders>
            <w:shd w:val="clear" w:color="auto" w:fill="auto"/>
            <w:noWrap/>
            <w:vAlign w:val="bottom"/>
            <w:hideMark/>
          </w:tcPr>
          <w:p w14:paraId="6190D378"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Dirección General</w:t>
            </w:r>
          </w:p>
        </w:tc>
        <w:tc>
          <w:tcPr>
            <w:tcW w:w="1203" w:type="dxa"/>
            <w:tcBorders>
              <w:top w:val="nil"/>
              <w:left w:val="nil"/>
              <w:bottom w:val="single" w:sz="4" w:space="0" w:color="auto"/>
              <w:right w:val="single" w:sz="4" w:space="0" w:color="auto"/>
            </w:tcBorders>
            <w:shd w:val="clear" w:color="auto" w:fill="auto"/>
            <w:noWrap/>
            <w:vAlign w:val="bottom"/>
            <w:hideMark/>
          </w:tcPr>
          <w:p w14:paraId="0C0D82A8" w14:textId="77777777" w:rsidR="000F099B" w:rsidRPr="00330B9D" w:rsidRDefault="000F099B" w:rsidP="000F099B">
            <w:pPr>
              <w:jc w:val="cente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2 horas</w:t>
            </w:r>
          </w:p>
        </w:tc>
      </w:tr>
      <w:tr w:rsidR="000F099B" w:rsidRPr="00330B9D" w14:paraId="28D35D27" w14:textId="77777777" w:rsidTr="000F099B">
        <w:trPr>
          <w:trHeight w:val="281"/>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03EE87F5"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Viernes, 14 de septiembre</w:t>
            </w:r>
          </w:p>
        </w:tc>
        <w:tc>
          <w:tcPr>
            <w:tcW w:w="5156" w:type="dxa"/>
            <w:tcBorders>
              <w:top w:val="nil"/>
              <w:left w:val="nil"/>
              <w:bottom w:val="single" w:sz="4" w:space="0" w:color="auto"/>
              <w:right w:val="single" w:sz="4" w:space="0" w:color="auto"/>
            </w:tcBorders>
            <w:shd w:val="clear" w:color="auto" w:fill="auto"/>
            <w:noWrap/>
            <w:vAlign w:val="bottom"/>
            <w:hideMark/>
          </w:tcPr>
          <w:p w14:paraId="70E26298"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 xml:space="preserve">Secretaría General  </w:t>
            </w:r>
          </w:p>
        </w:tc>
        <w:tc>
          <w:tcPr>
            <w:tcW w:w="1203" w:type="dxa"/>
            <w:tcBorders>
              <w:top w:val="nil"/>
              <w:left w:val="nil"/>
              <w:bottom w:val="single" w:sz="4" w:space="0" w:color="auto"/>
              <w:right w:val="single" w:sz="4" w:space="0" w:color="auto"/>
            </w:tcBorders>
            <w:shd w:val="clear" w:color="auto" w:fill="auto"/>
            <w:noWrap/>
            <w:vAlign w:val="bottom"/>
            <w:hideMark/>
          </w:tcPr>
          <w:p w14:paraId="37ED61F2" w14:textId="77777777" w:rsidR="000F099B" w:rsidRPr="00330B9D" w:rsidRDefault="000F099B" w:rsidP="000F099B">
            <w:pPr>
              <w:jc w:val="cente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2 horas</w:t>
            </w:r>
          </w:p>
        </w:tc>
      </w:tr>
      <w:tr w:rsidR="000F099B" w:rsidRPr="00330B9D" w14:paraId="231FF913" w14:textId="77777777" w:rsidTr="000F099B">
        <w:trPr>
          <w:trHeight w:val="281"/>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4FA96BA5"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Martes, 18 de septiembre</w:t>
            </w:r>
          </w:p>
        </w:tc>
        <w:tc>
          <w:tcPr>
            <w:tcW w:w="5156" w:type="dxa"/>
            <w:tcBorders>
              <w:top w:val="nil"/>
              <w:left w:val="nil"/>
              <w:bottom w:val="single" w:sz="4" w:space="0" w:color="auto"/>
              <w:right w:val="single" w:sz="4" w:space="0" w:color="auto"/>
            </w:tcBorders>
            <w:shd w:val="clear" w:color="auto" w:fill="auto"/>
            <w:noWrap/>
            <w:vAlign w:val="bottom"/>
            <w:hideMark/>
          </w:tcPr>
          <w:p w14:paraId="319387E9" w14:textId="77777777" w:rsidR="000F099B" w:rsidRPr="00330B9D" w:rsidRDefault="000F099B" w:rsidP="000F099B">
            <w:pP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Secretaria General - Asesores</w:t>
            </w:r>
          </w:p>
        </w:tc>
        <w:tc>
          <w:tcPr>
            <w:tcW w:w="1203" w:type="dxa"/>
            <w:tcBorders>
              <w:top w:val="nil"/>
              <w:left w:val="nil"/>
              <w:bottom w:val="single" w:sz="4" w:space="0" w:color="auto"/>
              <w:right w:val="single" w:sz="4" w:space="0" w:color="auto"/>
            </w:tcBorders>
            <w:shd w:val="clear" w:color="auto" w:fill="auto"/>
            <w:noWrap/>
            <w:vAlign w:val="bottom"/>
            <w:hideMark/>
          </w:tcPr>
          <w:p w14:paraId="03D1CFDD" w14:textId="77777777" w:rsidR="000F099B" w:rsidRPr="00330B9D" w:rsidRDefault="000F099B" w:rsidP="000F099B">
            <w:pPr>
              <w:jc w:val="center"/>
              <w:rPr>
                <w:rFonts w:ascii="Calibri" w:eastAsia="Times New Roman" w:hAnsi="Calibri" w:cs="Calibri"/>
                <w:color w:val="000000"/>
                <w:lang w:val="es-CO" w:eastAsia="es-CO"/>
              </w:rPr>
            </w:pPr>
            <w:r w:rsidRPr="00330B9D">
              <w:rPr>
                <w:rFonts w:ascii="Calibri" w:eastAsia="Times New Roman" w:hAnsi="Calibri" w:cs="Calibri"/>
                <w:color w:val="000000"/>
                <w:lang w:val="es-CO" w:eastAsia="es-CO"/>
              </w:rPr>
              <w:t>2 horas</w:t>
            </w:r>
          </w:p>
        </w:tc>
      </w:tr>
    </w:tbl>
    <w:p w14:paraId="1CA312B0" w14:textId="77777777" w:rsidR="000F099B" w:rsidRPr="009B6610" w:rsidRDefault="000F099B" w:rsidP="000F099B">
      <w:pPr>
        <w:pStyle w:val="Sinespaciado"/>
      </w:pPr>
    </w:p>
    <w:p w14:paraId="3710BA09" w14:textId="77777777" w:rsidR="000F099B" w:rsidRPr="002A261A" w:rsidRDefault="000F099B" w:rsidP="000F099B">
      <w:pPr>
        <w:pStyle w:val="Descripcin"/>
        <w:jc w:val="center"/>
        <w:rPr>
          <w:rFonts w:cs="Open Sans"/>
          <w:b/>
          <w:color w:val="000000" w:themeColor="text1"/>
          <w:szCs w:val="24"/>
        </w:rPr>
      </w:pPr>
      <w:bookmarkStart w:id="24" w:name="_Toc528828147"/>
      <w:r w:rsidRPr="00CD6775">
        <w:rPr>
          <w:rFonts w:cs="Open Sans"/>
          <w:color w:val="000000" w:themeColor="text1"/>
          <w:szCs w:val="24"/>
        </w:rPr>
        <w:t xml:space="preserve">Tabla </w:t>
      </w:r>
      <w:r w:rsidRPr="00CD6775">
        <w:rPr>
          <w:rFonts w:cs="Open Sans"/>
          <w:b/>
          <w:color w:val="000000" w:themeColor="text1"/>
          <w:szCs w:val="24"/>
        </w:rPr>
        <w:fldChar w:fldCharType="begin"/>
      </w:r>
      <w:r w:rsidRPr="00CD6775">
        <w:rPr>
          <w:rFonts w:cs="Open Sans"/>
          <w:color w:val="000000" w:themeColor="text1"/>
          <w:szCs w:val="24"/>
        </w:rPr>
        <w:instrText xml:space="preserve"> SEQ Tabla \* ARABIC </w:instrText>
      </w:r>
      <w:r w:rsidRPr="00CD6775">
        <w:rPr>
          <w:rFonts w:cs="Open Sans"/>
          <w:b/>
          <w:color w:val="000000" w:themeColor="text1"/>
          <w:szCs w:val="24"/>
        </w:rPr>
        <w:fldChar w:fldCharType="separate"/>
      </w:r>
      <w:r w:rsidR="0098415C">
        <w:rPr>
          <w:rFonts w:cs="Open Sans"/>
          <w:noProof/>
          <w:color w:val="000000" w:themeColor="text1"/>
          <w:szCs w:val="24"/>
        </w:rPr>
        <w:t>3</w:t>
      </w:r>
      <w:r w:rsidRPr="00CD6775">
        <w:rPr>
          <w:rFonts w:cs="Open Sans"/>
          <w:b/>
          <w:color w:val="000000" w:themeColor="text1"/>
          <w:szCs w:val="24"/>
        </w:rPr>
        <w:fldChar w:fldCharType="end"/>
      </w:r>
      <w:r w:rsidRPr="002A261A">
        <w:rPr>
          <w:rFonts w:cs="Open Sans"/>
          <w:color w:val="000000" w:themeColor="text1"/>
          <w:szCs w:val="24"/>
        </w:rPr>
        <w:t>.</w:t>
      </w:r>
      <w:r>
        <w:t xml:space="preserve"> </w:t>
      </w:r>
      <w:r>
        <w:rPr>
          <w:rFonts w:cs="Open Sans"/>
          <w:color w:val="000000" w:themeColor="text1"/>
          <w:szCs w:val="24"/>
        </w:rPr>
        <w:t>Entrevistas de Contextualización y Levantamiento de Información en INS.</w:t>
      </w:r>
      <w:bookmarkEnd w:id="24"/>
    </w:p>
    <w:p w14:paraId="17BDCBC8" w14:textId="77777777" w:rsidR="000F099B" w:rsidRPr="00F11505" w:rsidRDefault="000F099B" w:rsidP="000F099B">
      <w:pPr>
        <w:pStyle w:val="Sinespaciado"/>
      </w:pPr>
    </w:p>
    <w:p w14:paraId="673F6955" w14:textId="77777777" w:rsidR="000F099B" w:rsidRDefault="000F099B" w:rsidP="00187127">
      <w:pPr>
        <w:pStyle w:val="Ttulo2"/>
        <w:keepNext/>
        <w:keepLines/>
        <w:widowControl/>
        <w:numPr>
          <w:ilvl w:val="1"/>
          <w:numId w:val="6"/>
        </w:numPr>
        <w:autoSpaceDE/>
        <w:autoSpaceDN/>
        <w:spacing w:before="120"/>
        <w:ind w:left="426"/>
        <w:jc w:val="both"/>
        <w:rPr>
          <w:rFonts w:ascii="Open Sans" w:hAnsi="Open Sans" w:cs="Open Sans"/>
          <w:color w:val="000000" w:themeColor="text1"/>
        </w:rPr>
      </w:pPr>
      <w:bookmarkStart w:id="25" w:name="_Toc518815690"/>
      <w:bookmarkStart w:id="26" w:name="_Toc528775197"/>
      <w:r w:rsidRPr="00C37EF4">
        <w:rPr>
          <w:rFonts w:ascii="Open Sans" w:hAnsi="Open Sans" w:cs="Open Sans"/>
          <w:color w:val="000000" w:themeColor="text1"/>
        </w:rPr>
        <w:t>ESCALA DE VALORACIÓN DEL NIVEL DE CUMPLIMIENTO DEL ISO/IEC 27001</w:t>
      </w:r>
      <w:bookmarkEnd w:id="25"/>
      <w:bookmarkEnd w:id="26"/>
    </w:p>
    <w:p w14:paraId="06B8CC22" w14:textId="77777777" w:rsidR="000F099B" w:rsidRDefault="000F099B" w:rsidP="000F099B"/>
    <w:p w14:paraId="7A7BD731" w14:textId="77777777" w:rsidR="000F099B" w:rsidRPr="00C37EF4" w:rsidRDefault="000F099B" w:rsidP="000F099B">
      <w:pPr>
        <w:rPr>
          <w:rFonts w:ascii="Open Sans" w:hAnsi="Open Sans" w:cs="Open Sans"/>
          <w:color w:val="000000" w:themeColor="text1"/>
          <w:szCs w:val="24"/>
        </w:rPr>
      </w:pPr>
      <w:r w:rsidRPr="00C37EF4">
        <w:rPr>
          <w:rFonts w:ascii="Open Sans" w:hAnsi="Open Sans" w:cs="Open Sans"/>
          <w:color w:val="000000" w:themeColor="text1"/>
          <w:szCs w:val="24"/>
        </w:rPr>
        <w:lastRenderedPageBreak/>
        <w:t xml:space="preserve">Cada uno de los numerales o cláusulas de la ISO/IEC 27001:2013 contienen requerimientos específicos, los cuales fueron analizados para identificar el nivel de cumplimiento </w:t>
      </w:r>
      <w:r>
        <w:rPr>
          <w:rFonts w:ascii="Open Sans" w:hAnsi="Open Sans" w:cs="Open Sans"/>
          <w:color w:val="000000" w:themeColor="text1"/>
          <w:szCs w:val="24"/>
        </w:rPr>
        <w:t>del estándar</w:t>
      </w:r>
      <w:r w:rsidRPr="00C37EF4">
        <w:rPr>
          <w:rFonts w:ascii="Open Sans" w:hAnsi="Open Sans" w:cs="Open Sans"/>
          <w:color w:val="000000" w:themeColor="text1"/>
          <w:szCs w:val="24"/>
        </w:rPr>
        <w:t xml:space="preserve">. La valoración del cumplimiento se realizó </w:t>
      </w:r>
      <w:proofErr w:type="gramStart"/>
      <w:r w:rsidRPr="00C37EF4">
        <w:rPr>
          <w:rFonts w:ascii="Open Sans" w:hAnsi="Open Sans" w:cs="Open Sans"/>
          <w:color w:val="000000" w:themeColor="text1"/>
          <w:szCs w:val="24"/>
        </w:rPr>
        <w:t>de acuerdo a</w:t>
      </w:r>
      <w:proofErr w:type="gramEnd"/>
      <w:r w:rsidRPr="00C37EF4">
        <w:rPr>
          <w:rFonts w:ascii="Open Sans" w:hAnsi="Open Sans" w:cs="Open Sans"/>
          <w:color w:val="000000" w:themeColor="text1"/>
          <w:szCs w:val="24"/>
        </w:rPr>
        <w:t xml:space="preserve"> la siguiente escala:</w:t>
      </w:r>
    </w:p>
    <w:p w14:paraId="7BFB5E65" w14:textId="77777777" w:rsidR="000F099B" w:rsidRPr="00C37EF4" w:rsidRDefault="000F099B" w:rsidP="000F099B">
      <w:pPr>
        <w:rPr>
          <w:rFonts w:ascii="Open Sans" w:hAnsi="Open Sans" w:cs="Open Sans"/>
          <w:color w:val="000000" w:themeColor="text1"/>
          <w:szCs w:val="24"/>
        </w:rPr>
      </w:pPr>
    </w:p>
    <w:tbl>
      <w:tblPr>
        <w:tblW w:w="5000" w:type="pct"/>
        <w:tblCellMar>
          <w:left w:w="70" w:type="dxa"/>
          <w:right w:w="70" w:type="dxa"/>
        </w:tblCellMar>
        <w:tblLook w:val="04A0" w:firstRow="1" w:lastRow="0" w:firstColumn="1" w:lastColumn="0" w:noHBand="0" w:noVBand="1"/>
      </w:tblPr>
      <w:tblGrid>
        <w:gridCol w:w="2524"/>
        <w:gridCol w:w="7104"/>
      </w:tblGrid>
      <w:tr w:rsidR="000F099B" w:rsidRPr="00C37EF4" w14:paraId="7ECAFACD" w14:textId="77777777" w:rsidTr="000F099B">
        <w:trPr>
          <w:trHeight w:val="555"/>
        </w:trPr>
        <w:tc>
          <w:tcPr>
            <w:tcW w:w="1311" w:type="pct"/>
            <w:tcBorders>
              <w:top w:val="single" w:sz="4" w:space="0" w:color="auto"/>
              <w:left w:val="single" w:sz="4" w:space="0" w:color="auto"/>
              <w:bottom w:val="single" w:sz="4" w:space="0" w:color="auto"/>
              <w:right w:val="single" w:sz="4" w:space="0" w:color="auto"/>
            </w:tcBorders>
            <w:shd w:val="clear" w:color="000000" w:fill="00B050"/>
            <w:vAlign w:val="center"/>
            <w:hideMark/>
          </w:tcPr>
          <w:p w14:paraId="75614299" w14:textId="77777777" w:rsidR="000F099B" w:rsidRPr="00C37EF4" w:rsidRDefault="000F099B" w:rsidP="000F099B">
            <w:pPr>
              <w:rPr>
                <w:rFonts w:ascii="Open Sans" w:hAnsi="Open Sans" w:cs="Open Sans"/>
                <w:color w:val="000000" w:themeColor="text1"/>
                <w:szCs w:val="24"/>
              </w:rPr>
            </w:pPr>
            <w:r w:rsidRPr="00C37EF4">
              <w:rPr>
                <w:rFonts w:ascii="Open Sans" w:hAnsi="Open Sans" w:cs="Open Sans"/>
                <w:color w:val="000000" w:themeColor="text1"/>
                <w:szCs w:val="24"/>
              </w:rPr>
              <w:t>Cumple</w:t>
            </w:r>
          </w:p>
        </w:tc>
        <w:tc>
          <w:tcPr>
            <w:tcW w:w="3689" w:type="pct"/>
            <w:tcBorders>
              <w:top w:val="single" w:sz="4" w:space="0" w:color="auto"/>
              <w:left w:val="nil"/>
              <w:bottom w:val="single" w:sz="4" w:space="0" w:color="auto"/>
              <w:right w:val="single" w:sz="4" w:space="0" w:color="auto"/>
            </w:tcBorders>
            <w:shd w:val="clear" w:color="auto" w:fill="auto"/>
            <w:vAlign w:val="center"/>
            <w:hideMark/>
          </w:tcPr>
          <w:p w14:paraId="2F44D5CE" w14:textId="77777777" w:rsidR="000F099B" w:rsidRPr="00C37EF4" w:rsidRDefault="000F099B" w:rsidP="000F099B">
            <w:pPr>
              <w:rPr>
                <w:rFonts w:ascii="Open Sans" w:hAnsi="Open Sans" w:cs="Open Sans"/>
                <w:color w:val="000000" w:themeColor="text1"/>
                <w:szCs w:val="24"/>
              </w:rPr>
            </w:pPr>
            <w:r w:rsidRPr="00C37EF4">
              <w:rPr>
                <w:rFonts w:ascii="Open Sans" w:hAnsi="Open Sans" w:cs="Open Sans"/>
                <w:color w:val="000000" w:themeColor="text1"/>
                <w:szCs w:val="24"/>
              </w:rPr>
              <w:t>Se tienen evidencias de que la entidad cumple con el requerimiento.</w:t>
            </w:r>
          </w:p>
        </w:tc>
      </w:tr>
      <w:tr w:rsidR="000F099B" w:rsidRPr="00C37EF4" w14:paraId="72FF902E" w14:textId="77777777" w:rsidTr="000F099B">
        <w:trPr>
          <w:trHeight w:val="759"/>
        </w:trPr>
        <w:tc>
          <w:tcPr>
            <w:tcW w:w="1311" w:type="pct"/>
            <w:tcBorders>
              <w:top w:val="nil"/>
              <w:left w:val="single" w:sz="4" w:space="0" w:color="auto"/>
              <w:bottom w:val="single" w:sz="4" w:space="0" w:color="auto"/>
              <w:right w:val="single" w:sz="4" w:space="0" w:color="auto"/>
            </w:tcBorders>
            <w:shd w:val="clear" w:color="auto" w:fill="FFC000"/>
            <w:vAlign w:val="center"/>
            <w:hideMark/>
          </w:tcPr>
          <w:p w14:paraId="4C0488CD" w14:textId="77777777" w:rsidR="000F099B" w:rsidRPr="00C37EF4" w:rsidRDefault="000F099B" w:rsidP="000F099B">
            <w:pPr>
              <w:rPr>
                <w:rFonts w:ascii="Open Sans" w:hAnsi="Open Sans" w:cs="Open Sans"/>
                <w:color w:val="000000" w:themeColor="text1"/>
                <w:szCs w:val="24"/>
              </w:rPr>
            </w:pPr>
            <w:r w:rsidRPr="00C37EF4">
              <w:rPr>
                <w:rFonts w:ascii="Open Sans" w:hAnsi="Open Sans" w:cs="Open Sans"/>
                <w:color w:val="000000" w:themeColor="text1"/>
                <w:szCs w:val="24"/>
              </w:rPr>
              <w:t>Cumple Parcialmente</w:t>
            </w:r>
          </w:p>
        </w:tc>
        <w:tc>
          <w:tcPr>
            <w:tcW w:w="3689" w:type="pct"/>
            <w:tcBorders>
              <w:top w:val="nil"/>
              <w:left w:val="nil"/>
              <w:bottom w:val="single" w:sz="4" w:space="0" w:color="auto"/>
              <w:right w:val="single" w:sz="4" w:space="0" w:color="auto"/>
            </w:tcBorders>
            <w:shd w:val="clear" w:color="auto" w:fill="auto"/>
            <w:vAlign w:val="center"/>
            <w:hideMark/>
          </w:tcPr>
          <w:p w14:paraId="650103E7" w14:textId="77777777" w:rsidR="000F099B" w:rsidRPr="00C37EF4" w:rsidRDefault="000F099B" w:rsidP="000F099B">
            <w:pPr>
              <w:rPr>
                <w:rFonts w:ascii="Open Sans" w:hAnsi="Open Sans" w:cs="Open Sans"/>
                <w:color w:val="000000" w:themeColor="text1"/>
                <w:szCs w:val="24"/>
              </w:rPr>
            </w:pPr>
            <w:r w:rsidRPr="00C37EF4">
              <w:rPr>
                <w:rFonts w:ascii="Open Sans" w:hAnsi="Open Sans" w:cs="Open Sans"/>
                <w:color w:val="000000" w:themeColor="text1"/>
                <w:szCs w:val="24"/>
              </w:rPr>
              <w:t>Aunque se evidencian avances en la implementación del requerimiento, se tienen algunas debilidades que deben ser remediadas para cumplir con el requerimiento.</w:t>
            </w:r>
          </w:p>
        </w:tc>
      </w:tr>
      <w:tr w:rsidR="000F099B" w:rsidRPr="00C37EF4" w14:paraId="3D45691D" w14:textId="77777777" w:rsidTr="000F099B">
        <w:trPr>
          <w:trHeight w:val="644"/>
        </w:trPr>
        <w:tc>
          <w:tcPr>
            <w:tcW w:w="1311" w:type="pct"/>
            <w:tcBorders>
              <w:top w:val="single" w:sz="4" w:space="0" w:color="auto"/>
              <w:left w:val="single" w:sz="4" w:space="0" w:color="auto"/>
              <w:bottom w:val="single" w:sz="4" w:space="0" w:color="auto"/>
              <w:right w:val="single" w:sz="4" w:space="0" w:color="auto"/>
            </w:tcBorders>
            <w:shd w:val="clear" w:color="auto" w:fill="E60000"/>
            <w:vAlign w:val="center"/>
            <w:hideMark/>
          </w:tcPr>
          <w:p w14:paraId="514B17B1" w14:textId="77777777" w:rsidR="000F099B" w:rsidRPr="00C37EF4" w:rsidRDefault="000F099B" w:rsidP="000F099B">
            <w:pPr>
              <w:rPr>
                <w:rFonts w:ascii="Open Sans" w:hAnsi="Open Sans" w:cs="Open Sans"/>
                <w:color w:val="000000" w:themeColor="text1"/>
                <w:szCs w:val="24"/>
              </w:rPr>
            </w:pPr>
            <w:r w:rsidRPr="00C37EF4">
              <w:rPr>
                <w:rFonts w:ascii="Open Sans" w:hAnsi="Open Sans" w:cs="Open Sans"/>
                <w:color w:val="000000" w:themeColor="text1"/>
                <w:szCs w:val="24"/>
              </w:rPr>
              <w:t>No Cumple</w:t>
            </w:r>
          </w:p>
        </w:tc>
        <w:tc>
          <w:tcPr>
            <w:tcW w:w="3689" w:type="pct"/>
            <w:tcBorders>
              <w:top w:val="single" w:sz="4" w:space="0" w:color="auto"/>
              <w:left w:val="nil"/>
              <w:bottom w:val="single" w:sz="4" w:space="0" w:color="auto"/>
              <w:right w:val="single" w:sz="4" w:space="0" w:color="auto"/>
            </w:tcBorders>
            <w:shd w:val="clear" w:color="auto" w:fill="auto"/>
            <w:vAlign w:val="center"/>
            <w:hideMark/>
          </w:tcPr>
          <w:p w14:paraId="48D8B931" w14:textId="77777777" w:rsidR="000F099B" w:rsidRPr="00C37EF4" w:rsidRDefault="000F099B" w:rsidP="000F099B">
            <w:pPr>
              <w:rPr>
                <w:rFonts w:ascii="Open Sans" w:hAnsi="Open Sans" w:cs="Open Sans"/>
                <w:color w:val="000000" w:themeColor="text1"/>
                <w:szCs w:val="24"/>
              </w:rPr>
            </w:pPr>
            <w:r w:rsidRPr="00C37EF4">
              <w:rPr>
                <w:rFonts w:ascii="Open Sans" w:hAnsi="Open Sans" w:cs="Open Sans"/>
                <w:color w:val="000000" w:themeColor="text1"/>
                <w:szCs w:val="24"/>
              </w:rPr>
              <w:t>No se ha iniciado con la implementación del requerimiento o los avances son mínimos.</w:t>
            </w:r>
          </w:p>
        </w:tc>
      </w:tr>
      <w:tr w:rsidR="000F099B" w:rsidRPr="00C37EF4" w14:paraId="76BAB37E" w14:textId="77777777" w:rsidTr="000F099B">
        <w:trPr>
          <w:trHeight w:val="644"/>
        </w:trPr>
        <w:tc>
          <w:tcPr>
            <w:tcW w:w="1311"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ADE4EFC" w14:textId="77777777" w:rsidR="000F099B" w:rsidRPr="00203326" w:rsidRDefault="000F099B" w:rsidP="000F099B">
            <w:pPr>
              <w:rPr>
                <w:rFonts w:ascii="Open Sans" w:hAnsi="Open Sans" w:cs="Open Sans"/>
                <w:color w:val="000000" w:themeColor="text1"/>
                <w:szCs w:val="24"/>
              </w:rPr>
            </w:pPr>
            <w:r>
              <w:rPr>
                <w:rFonts w:ascii="Open Sans" w:hAnsi="Open Sans" w:cs="Open Sans"/>
                <w:color w:val="000000" w:themeColor="text1"/>
                <w:szCs w:val="24"/>
              </w:rPr>
              <w:t>N/A</w:t>
            </w:r>
          </w:p>
        </w:tc>
        <w:tc>
          <w:tcPr>
            <w:tcW w:w="3689" w:type="pct"/>
            <w:tcBorders>
              <w:top w:val="single" w:sz="4" w:space="0" w:color="auto"/>
              <w:left w:val="nil"/>
              <w:bottom w:val="single" w:sz="4" w:space="0" w:color="auto"/>
              <w:right w:val="single" w:sz="4" w:space="0" w:color="auto"/>
            </w:tcBorders>
            <w:shd w:val="clear" w:color="auto" w:fill="auto"/>
            <w:vAlign w:val="center"/>
          </w:tcPr>
          <w:p w14:paraId="2D88DE08" w14:textId="77777777" w:rsidR="000F099B" w:rsidRPr="00C37EF4" w:rsidRDefault="000F099B" w:rsidP="000F099B">
            <w:pPr>
              <w:rPr>
                <w:rFonts w:ascii="Open Sans" w:hAnsi="Open Sans" w:cs="Open Sans"/>
                <w:color w:val="000000" w:themeColor="text1"/>
                <w:szCs w:val="24"/>
              </w:rPr>
            </w:pPr>
            <w:r>
              <w:rPr>
                <w:rFonts w:ascii="Open Sans" w:hAnsi="Open Sans" w:cs="Open Sans"/>
                <w:color w:val="000000" w:themeColor="text1"/>
                <w:szCs w:val="24"/>
              </w:rPr>
              <w:t>Requerimiento no aplica a la entidad</w:t>
            </w:r>
          </w:p>
        </w:tc>
      </w:tr>
    </w:tbl>
    <w:p w14:paraId="7384D9C3" w14:textId="77777777" w:rsidR="000F099B" w:rsidRPr="00C37EF4" w:rsidRDefault="000F099B" w:rsidP="000F099B">
      <w:pPr>
        <w:pStyle w:val="Descripcin"/>
        <w:jc w:val="center"/>
        <w:rPr>
          <w:rFonts w:cs="Open Sans"/>
          <w:b/>
          <w:color w:val="000000" w:themeColor="text1"/>
          <w:szCs w:val="24"/>
        </w:rPr>
      </w:pPr>
      <w:bookmarkStart w:id="27" w:name="_Toc494148276"/>
      <w:bookmarkStart w:id="28" w:name="_Toc528828148"/>
      <w:r w:rsidRPr="00C37EF4">
        <w:rPr>
          <w:rFonts w:cs="Open Sans"/>
          <w:color w:val="000000" w:themeColor="text1"/>
          <w:szCs w:val="24"/>
        </w:rPr>
        <w:t xml:space="preserve">Tabla </w:t>
      </w:r>
      <w:r w:rsidRPr="00C37EF4">
        <w:rPr>
          <w:rFonts w:cs="Open Sans"/>
          <w:b/>
          <w:color w:val="000000" w:themeColor="text1"/>
          <w:szCs w:val="24"/>
        </w:rPr>
        <w:fldChar w:fldCharType="begin"/>
      </w:r>
      <w:r w:rsidRPr="00C37EF4">
        <w:rPr>
          <w:rFonts w:cs="Open Sans"/>
          <w:color w:val="000000" w:themeColor="text1"/>
          <w:szCs w:val="24"/>
        </w:rPr>
        <w:instrText xml:space="preserve"> SEQ Tabla \* ARABIC </w:instrText>
      </w:r>
      <w:r w:rsidRPr="00C37EF4">
        <w:rPr>
          <w:rFonts w:cs="Open Sans"/>
          <w:b/>
          <w:color w:val="000000" w:themeColor="text1"/>
          <w:szCs w:val="24"/>
        </w:rPr>
        <w:fldChar w:fldCharType="separate"/>
      </w:r>
      <w:r w:rsidR="0098415C">
        <w:rPr>
          <w:rFonts w:cs="Open Sans"/>
          <w:noProof/>
          <w:color w:val="000000" w:themeColor="text1"/>
          <w:szCs w:val="24"/>
        </w:rPr>
        <w:t>4</w:t>
      </w:r>
      <w:r w:rsidRPr="00C37EF4">
        <w:rPr>
          <w:rFonts w:cs="Open Sans"/>
          <w:b/>
          <w:color w:val="000000" w:themeColor="text1"/>
          <w:szCs w:val="24"/>
        </w:rPr>
        <w:fldChar w:fldCharType="end"/>
      </w:r>
      <w:r w:rsidRPr="00C37EF4">
        <w:rPr>
          <w:rFonts w:cs="Open Sans"/>
          <w:color w:val="000000" w:themeColor="text1"/>
          <w:szCs w:val="24"/>
        </w:rPr>
        <w:t>. Escala de Valoración del Cumplimiento</w:t>
      </w:r>
      <w:bookmarkEnd w:id="27"/>
      <w:bookmarkEnd w:id="28"/>
    </w:p>
    <w:p w14:paraId="4AA30ABF" w14:textId="77777777" w:rsidR="000F099B" w:rsidRPr="006812C9" w:rsidRDefault="000F099B" w:rsidP="000F099B">
      <w:pPr>
        <w:rPr>
          <w:rFonts w:ascii="Open Sans" w:hAnsi="Open Sans" w:cs="Open Sans"/>
          <w:color w:val="000000" w:themeColor="text1"/>
          <w:sz w:val="24"/>
          <w:szCs w:val="24"/>
        </w:rPr>
      </w:pPr>
    </w:p>
    <w:p w14:paraId="6BE0136E" w14:textId="77777777" w:rsidR="000F099B" w:rsidRDefault="000F099B" w:rsidP="00187127">
      <w:pPr>
        <w:pStyle w:val="Ttulo2"/>
        <w:keepNext/>
        <w:keepLines/>
        <w:widowControl/>
        <w:numPr>
          <w:ilvl w:val="1"/>
          <w:numId w:val="6"/>
        </w:numPr>
        <w:autoSpaceDE/>
        <w:autoSpaceDN/>
        <w:spacing w:before="120"/>
        <w:ind w:left="426"/>
        <w:jc w:val="both"/>
        <w:rPr>
          <w:rFonts w:ascii="Open Sans" w:hAnsi="Open Sans" w:cs="Open Sans"/>
          <w:color w:val="000000" w:themeColor="text1"/>
        </w:rPr>
      </w:pPr>
      <w:r w:rsidRPr="006812C9">
        <w:rPr>
          <w:rFonts w:ascii="Open Sans" w:hAnsi="Open Sans" w:cs="Open Sans"/>
          <w:color w:val="000000" w:themeColor="text1"/>
        </w:rPr>
        <w:t xml:space="preserve"> </w:t>
      </w:r>
      <w:bookmarkStart w:id="29" w:name="_Toc518815691"/>
      <w:bookmarkStart w:id="30" w:name="_Toc528775198"/>
      <w:r w:rsidRPr="00C37EF4">
        <w:rPr>
          <w:rFonts w:ascii="Open Sans" w:hAnsi="Open Sans" w:cs="Open Sans"/>
          <w:color w:val="000000" w:themeColor="text1"/>
        </w:rPr>
        <w:t>ESCALA DE VALORACION DEL NIVEL DE MADUREZ DEL SGSI</w:t>
      </w:r>
      <w:bookmarkEnd w:id="29"/>
      <w:bookmarkEnd w:id="30"/>
    </w:p>
    <w:p w14:paraId="0E565F32" w14:textId="77777777" w:rsidR="000F099B" w:rsidRPr="003C6A9E" w:rsidRDefault="000F099B" w:rsidP="000F099B">
      <w:pPr>
        <w:pStyle w:val="Sinespaciado"/>
      </w:pPr>
    </w:p>
    <w:p w14:paraId="228EBAF0" w14:textId="77777777" w:rsidR="000F099B" w:rsidRDefault="000F099B" w:rsidP="000F099B">
      <w:pPr>
        <w:rPr>
          <w:rFonts w:ascii="Open Sans" w:hAnsi="Open Sans" w:cs="Open Sans"/>
          <w:color w:val="000000" w:themeColor="text1"/>
          <w:szCs w:val="24"/>
        </w:rPr>
      </w:pPr>
      <w:r w:rsidRPr="00C37EF4">
        <w:rPr>
          <w:rFonts w:ascii="Open Sans" w:hAnsi="Open Sans" w:cs="Open Sans"/>
          <w:color w:val="000000" w:themeColor="text1"/>
          <w:szCs w:val="24"/>
        </w:rPr>
        <w:t xml:space="preserve">La valoración del Nivel de Madurez del Sistema de Gestión de Seguridad de la Información se basó en el establecido en el Modelo de Seguridad y Privacidad de Información definido por el MINTIC, el cual contempla 6 niveles de madurez, que corresponden a la evolución de la implementación del modelo de operación, el cual busca establecer unos criterios de valoración a través de los cuales se determina el estado actual de la Seguridad de la Información del </w:t>
      </w:r>
      <w:r>
        <w:rPr>
          <w:rFonts w:ascii="Open Sans" w:hAnsi="Open Sans" w:cs="Open Sans"/>
          <w:color w:val="000000" w:themeColor="text1"/>
          <w:szCs w:val="24"/>
        </w:rPr>
        <w:t>Instituto Nacional de Salud</w:t>
      </w:r>
      <w:r w:rsidRPr="00C37EF4">
        <w:rPr>
          <w:rFonts w:ascii="Open Sans" w:hAnsi="Open Sans" w:cs="Open Sans"/>
          <w:color w:val="000000" w:themeColor="text1"/>
          <w:szCs w:val="24"/>
        </w:rPr>
        <w:t xml:space="preserve">.  A continuación, se presenta los 6 niveles establecidos para evaluar el nivel de madurez del SGSI </w:t>
      </w:r>
      <w:r w:rsidRPr="00C37EF4">
        <w:rPr>
          <w:rFonts w:ascii="Open Sans" w:hAnsi="Open Sans" w:cs="Open Sans"/>
          <w:color w:val="000000" w:themeColor="text1"/>
        </w:rPr>
        <w:t xml:space="preserve">del </w:t>
      </w:r>
      <w:r>
        <w:rPr>
          <w:rFonts w:ascii="Open Sans" w:hAnsi="Open Sans" w:cs="Open Sans"/>
          <w:color w:val="000000" w:themeColor="text1"/>
        </w:rPr>
        <w:t>Instituto Nacional de Salud</w:t>
      </w:r>
      <w:r w:rsidRPr="00C37EF4">
        <w:rPr>
          <w:rFonts w:ascii="Open Sans" w:hAnsi="Open Sans" w:cs="Open Sans"/>
          <w:color w:val="000000" w:themeColor="text1"/>
          <w:szCs w:val="24"/>
        </w:rPr>
        <w:t>:</w:t>
      </w:r>
    </w:p>
    <w:p w14:paraId="58A63E63" w14:textId="77777777" w:rsidR="000F099B" w:rsidRPr="005F7114" w:rsidRDefault="000F099B" w:rsidP="000F099B">
      <w:pPr>
        <w:pStyle w:val="Sinespaciado"/>
      </w:pPr>
    </w:p>
    <w:p w14:paraId="7CB43474" w14:textId="77777777" w:rsidR="000F099B" w:rsidRPr="002A261A" w:rsidRDefault="000F099B" w:rsidP="000F099B">
      <w:pPr>
        <w:pStyle w:val="Sinespaciado"/>
      </w:pPr>
    </w:p>
    <w:p w14:paraId="284D33D6" w14:textId="77777777" w:rsidR="000F099B" w:rsidRPr="006812C9" w:rsidRDefault="000F099B" w:rsidP="000F099B">
      <w:pPr>
        <w:rPr>
          <w:rFonts w:ascii="Open Sans" w:hAnsi="Open Sans" w:cs="Open Sans"/>
          <w:color w:val="000000" w:themeColor="text1"/>
        </w:rPr>
      </w:pPr>
      <w:r w:rsidRPr="003923DC">
        <w:rPr>
          <w:rFonts w:ascii="Open Sans" w:hAnsi="Open Sans" w:cs="Open Sans"/>
          <w:noProof/>
          <w:color w:val="000000" w:themeColor="text1"/>
          <w:lang w:val="es-CO" w:eastAsia="es-CO"/>
        </w:rPr>
        <w:drawing>
          <wp:inline distT="0" distB="0" distL="0" distR="0" wp14:anchorId="41686036" wp14:editId="5C3FC996">
            <wp:extent cx="6118534" cy="2706624"/>
            <wp:effectExtent l="0" t="0" r="0" b="0"/>
            <wp:docPr id="7" name="Imagen 7" descr="C:\Users\agiraldo\Download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iraldo\Downloads\im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3110" cy="2708648"/>
                    </a:xfrm>
                    <a:prstGeom prst="rect">
                      <a:avLst/>
                    </a:prstGeom>
                    <a:noFill/>
                    <a:ln>
                      <a:noFill/>
                    </a:ln>
                  </pic:spPr>
                </pic:pic>
              </a:graphicData>
            </a:graphic>
          </wp:inline>
        </w:drawing>
      </w:r>
    </w:p>
    <w:p w14:paraId="34CA6F96" w14:textId="77777777" w:rsidR="000F099B" w:rsidRPr="00C37EF4" w:rsidRDefault="000F099B" w:rsidP="000F099B">
      <w:pPr>
        <w:pStyle w:val="Descripcin"/>
        <w:jc w:val="center"/>
        <w:rPr>
          <w:rFonts w:cs="Open Sans"/>
          <w:b/>
          <w:color w:val="000000" w:themeColor="text1"/>
          <w:szCs w:val="24"/>
        </w:rPr>
      </w:pPr>
      <w:bookmarkStart w:id="31" w:name="_Toc494148282"/>
      <w:bookmarkStart w:id="32" w:name="_Toc528828152"/>
      <w:r w:rsidRPr="00C37EF4">
        <w:rPr>
          <w:rFonts w:cs="Open Sans"/>
          <w:color w:val="000000" w:themeColor="text1"/>
          <w:szCs w:val="24"/>
        </w:rPr>
        <w:t xml:space="preserve">Ilustración </w:t>
      </w:r>
      <w:r w:rsidRPr="00C37EF4">
        <w:rPr>
          <w:rFonts w:cs="Open Sans"/>
          <w:b/>
          <w:color w:val="000000" w:themeColor="text1"/>
          <w:szCs w:val="24"/>
        </w:rPr>
        <w:fldChar w:fldCharType="begin"/>
      </w:r>
      <w:r w:rsidRPr="00C37EF4">
        <w:rPr>
          <w:rFonts w:cs="Open Sans"/>
          <w:color w:val="000000" w:themeColor="text1"/>
          <w:szCs w:val="24"/>
        </w:rPr>
        <w:instrText xml:space="preserve"> SEQ Ilustración \* ARABIC </w:instrText>
      </w:r>
      <w:r w:rsidRPr="00C37EF4">
        <w:rPr>
          <w:rFonts w:cs="Open Sans"/>
          <w:b/>
          <w:color w:val="000000" w:themeColor="text1"/>
          <w:szCs w:val="24"/>
        </w:rPr>
        <w:fldChar w:fldCharType="separate"/>
      </w:r>
      <w:r w:rsidR="0098415C">
        <w:rPr>
          <w:rFonts w:cs="Open Sans"/>
          <w:noProof/>
          <w:color w:val="000000" w:themeColor="text1"/>
          <w:szCs w:val="24"/>
        </w:rPr>
        <w:t>1</w:t>
      </w:r>
      <w:r w:rsidRPr="00C37EF4">
        <w:rPr>
          <w:rFonts w:cs="Open Sans"/>
          <w:b/>
          <w:color w:val="000000" w:themeColor="text1"/>
          <w:szCs w:val="24"/>
        </w:rPr>
        <w:fldChar w:fldCharType="end"/>
      </w:r>
      <w:r w:rsidRPr="00C37EF4">
        <w:rPr>
          <w:rFonts w:cs="Open Sans"/>
          <w:color w:val="000000" w:themeColor="text1"/>
          <w:szCs w:val="24"/>
        </w:rPr>
        <w:t xml:space="preserve">. Niveles de Madurez del </w:t>
      </w:r>
      <w:bookmarkEnd w:id="31"/>
      <w:r>
        <w:rPr>
          <w:rFonts w:cs="Open Sans"/>
          <w:color w:val="000000" w:themeColor="text1"/>
          <w:szCs w:val="24"/>
        </w:rPr>
        <w:t>MPSI de MINTIC</w:t>
      </w:r>
      <w:bookmarkEnd w:id="32"/>
    </w:p>
    <w:p w14:paraId="552794F9" w14:textId="77777777" w:rsidR="000F099B" w:rsidRDefault="000F099B" w:rsidP="000F099B">
      <w:pPr>
        <w:pStyle w:val="Sinespaciado"/>
        <w:rPr>
          <w:rFonts w:ascii="Open Sans" w:hAnsi="Open Sans" w:cs="Open Sans"/>
          <w:color w:val="000000" w:themeColor="text1"/>
        </w:rPr>
      </w:pPr>
    </w:p>
    <w:p w14:paraId="6A8AF93C" w14:textId="77777777" w:rsidR="00C47E6E" w:rsidRDefault="00C47E6E" w:rsidP="000F099B">
      <w:pPr>
        <w:pStyle w:val="Sinespaciado"/>
        <w:rPr>
          <w:rFonts w:ascii="Open Sans" w:hAnsi="Open Sans" w:cs="Open Sans"/>
          <w:color w:val="000000" w:themeColor="text1"/>
        </w:rPr>
      </w:pPr>
    </w:p>
    <w:p w14:paraId="70885866" w14:textId="77777777" w:rsidR="00C47E6E" w:rsidRDefault="00C47E6E" w:rsidP="000F099B">
      <w:pPr>
        <w:pStyle w:val="Sinespaciado"/>
        <w:rPr>
          <w:rFonts w:ascii="Open Sans" w:hAnsi="Open Sans" w:cs="Open Sans"/>
          <w:color w:val="000000" w:themeColor="text1"/>
        </w:rPr>
      </w:pPr>
    </w:p>
    <w:p w14:paraId="39B42695" w14:textId="77777777" w:rsidR="00C47E6E" w:rsidRDefault="00C47E6E" w:rsidP="000F099B">
      <w:pPr>
        <w:pStyle w:val="Sinespaciado"/>
        <w:rPr>
          <w:rFonts w:ascii="Open Sans" w:hAnsi="Open Sans" w:cs="Open Sans"/>
          <w:color w:val="000000" w:themeColor="text1"/>
        </w:rPr>
      </w:pPr>
    </w:p>
    <w:p w14:paraId="4F3900C3" w14:textId="77777777" w:rsidR="00C47E6E" w:rsidRDefault="00C47E6E" w:rsidP="000F099B">
      <w:pPr>
        <w:pStyle w:val="Sinespaciado"/>
        <w:rPr>
          <w:rFonts w:ascii="Open Sans" w:hAnsi="Open Sans" w:cs="Open Sans"/>
          <w:color w:val="000000" w:themeColor="text1"/>
        </w:rPr>
      </w:pPr>
    </w:p>
    <w:p w14:paraId="58DF227D" w14:textId="77777777" w:rsidR="00C47E6E" w:rsidRDefault="00C47E6E" w:rsidP="000F099B">
      <w:pPr>
        <w:pStyle w:val="Sinespaciado"/>
        <w:rPr>
          <w:rFonts w:ascii="Open Sans" w:hAnsi="Open Sans" w:cs="Open Sans"/>
          <w:color w:val="000000" w:themeColor="text1"/>
        </w:rPr>
      </w:pPr>
    </w:p>
    <w:p w14:paraId="033AF399" w14:textId="77777777" w:rsidR="00C47E6E" w:rsidRDefault="00C47E6E" w:rsidP="000F099B">
      <w:pPr>
        <w:pStyle w:val="Sinespaciado"/>
        <w:rPr>
          <w:rFonts w:ascii="Open Sans" w:hAnsi="Open Sans" w:cs="Open Sans"/>
          <w:color w:val="000000" w:themeColor="text1"/>
        </w:rPr>
      </w:pPr>
    </w:p>
    <w:p w14:paraId="079FF46D" w14:textId="77777777" w:rsidR="00C47E6E" w:rsidRDefault="00C47E6E" w:rsidP="000F099B">
      <w:pPr>
        <w:pStyle w:val="Sinespaciado"/>
        <w:rPr>
          <w:rFonts w:ascii="Open Sans" w:hAnsi="Open Sans" w:cs="Open Sans"/>
          <w:color w:val="000000" w:themeColor="text1"/>
        </w:rPr>
      </w:pPr>
    </w:p>
    <w:p w14:paraId="1E70A3C9" w14:textId="77777777" w:rsidR="00C47E6E" w:rsidRDefault="00C47E6E" w:rsidP="000F099B">
      <w:pPr>
        <w:pStyle w:val="Sinespaciado"/>
        <w:rPr>
          <w:rFonts w:ascii="Open Sans" w:hAnsi="Open Sans" w:cs="Open Sans"/>
          <w:color w:val="000000" w:themeColor="text1"/>
        </w:rPr>
      </w:pPr>
    </w:p>
    <w:p w14:paraId="62482A9A" w14:textId="77777777" w:rsidR="00C47E6E" w:rsidRDefault="00C47E6E" w:rsidP="000F099B">
      <w:pPr>
        <w:pStyle w:val="Sinespaciado"/>
        <w:rPr>
          <w:rFonts w:ascii="Open Sans" w:hAnsi="Open Sans" w:cs="Open Sans"/>
          <w:color w:val="000000" w:themeColor="text1"/>
        </w:rPr>
      </w:pPr>
    </w:p>
    <w:p w14:paraId="059749AD" w14:textId="77777777" w:rsidR="00C47E6E" w:rsidRDefault="00C47E6E" w:rsidP="000F099B">
      <w:pPr>
        <w:pStyle w:val="Sinespaciado"/>
        <w:rPr>
          <w:rFonts w:ascii="Open Sans" w:hAnsi="Open Sans" w:cs="Open Sans"/>
          <w:color w:val="000000" w:themeColor="text1"/>
        </w:rPr>
      </w:pPr>
    </w:p>
    <w:p w14:paraId="17F2270D" w14:textId="77777777" w:rsidR="00C47E6E" w:rsidRDefault="00C47E6E" w:rsidP="000F099B">
      <w:pPr>
        <w:pStyle w:val="Sinespaciado"/>
        <w:rPr>
          <w:rFonts w:ascii="Open Sans" w:hAnsi="Open Sans" w:cs="Open Sans"/>
          <w:color w:val="000000" w:themeColor="text1"/>
        </w:rPr>
      </w:pPr>
    </w:p>
    <w:p w14:paraId="3FD0CFDA" w14:textId="77777777" w:rsidR="00C47E6E" w:rsidRDefault="00C47E6E" w:rsidP="000F099B">
      <w:pPr>
        <w:pStyle w:val="Sinespaciado"/>
        <w:rPr>
          <w:rFonts w:ascii="Open Sans" w:hAnsi="Open Sans" w:cs="Open Sans"/>
          <w:color w:val="000000" w:themeColor="text1"/>
        </w:rPr>
      </w:pPr>
    </w:p>
    <w:p w14:paraId="48C2A587" w14:textId="77777777" w:rsidR="00C47E6E" w:rsidRDefault="00C47E6E" w:rsidP="000F099B">
      <w:pPr>
        <w:pStyle w:val="Sinespaciado"/>
        <w:rPr>
          <w:rFonts w:ascii="Open Sans" w:hAnsi="Open Sans" w:cs="Open Sans"/>
          <w:color w:val="000000" w:themeColor="text1"/>
        </w:rPr>
      </w:pPr>
    </w:p>
    <w:p w14:paraId="6E5502E2" w14:textId="77777777" w:rsidR="00C47E6E" w:rsidRDefault="00C47E6E" w:rsidP="000F099B">
      <w:pPr>
        <w:pStyle w:val="Sinespaciado"/>
        <w:rPr>
          <w:rFonts w:ascii="Open Sans" w:hAnsi="Open Sans" w:cs="Open Sans"/>
          <w:color w:val="000000" w:themeColor="text1"/>
        </w:rPr>
      </w:pPr>
    </w:p>
    <w:p w14:paraId="4E5C85F2" w14:textId="77777777" w:rsidR="00C47E6E" w:rsidRDefault="00C47E6E" w:rsidP="000F099B">
      <w:pPr>
        <w:pStyle w:val="Sinespaciado"/>
        <w:rPr>
          <w:rFonts w:ascii="Open Sans" w:hAnsi="Open Sans" w:cs="Open Sans"/>
          <w:color w:val="000000" w:themeColor="text1"/>
        </w:rPr>
      </w:pPr>
    </w:p>
    <w:p w14:paraId="4E8B79D8" w14:textId="77777777" w:rsidR="00C47E6E" w:rsidRDefault="00C47E6E" w:rsidP="000F099B">
      <w:pPr>
        <w:pStyle w:val="Sinespaciado"/>
        <w:rPr>
          <w:rFonts w:ascii="Open Sans" w:hAnsi="Open Sans" w:cs="Open Sans"/>
          <w:color w:val="000000" w:themeColor="text1"/>
        </w:rPr>
      </w:pPr>
    </w:p>
    <w:p w14:paraId="57CE20A5" w14:textId="77777777" w:rsidR="00C47E6E" w:rsidRDefault="00C47E6E" w:rsidP="000F099B">
      <w:pPr>
        <w:pStyle w:val="Sinespaciado"/>
        <w:rPr>
          <w:rFonts w:ascii="Open Sans" w:hAnsi="Open Sans" w:cs="Open Sans"/>
          <w:color w:val="000000" w:themeColor="text1"/>
        </w:rPr>
      </w:pPr>
    </w:p>
    <w:p w14:paraId="19C7373B" w14:textId="77777777" w:rsidR="00C47E6E" w:rsidRDefault="00C47E6E" w:rsidP="000F099B">
      <w:pPr>
        <w:pStyle w:val="Sinespaciado"/>
        <w:rPr>
          <w:rFonts w:ascii="Open Sans" w:hAnsi="Open Sans" w:cs="Open Sans"/>
          <w:color w:val="000000" w:themeColor="text1"/>
        </w:rPr>
      </w:pPr>
    </w:p>
    <w:p w14:paraId="0A9E8B62" w14:textId="77777777" w:rsidR="00C47E6E" w:rsidRDefault="00C47E6E" w:rsidP="000F099B">
      <w:pPr>
        <w:pStyle w:val="Sinespaciado"/>
        <w:rPr>
          <w:rFonts w:ascii="Open Sans" w:hAnsi="Open Sans" w:cs="Open Sans"/>
          <w:color w:val="000000" w:themeColor="text1"/>
        </w:rPr>
      </w:pPr>
    </w:p>
    <w:p w14:paraId="7F55E3DF" w14:textId="77777777" w:rsidR="00C47E6E" w:rsidRDefault="00C47E6E" w:rsidP="000F099B">
      <w:pPr>
        <w:pStyle w:val="Sinespaciado"/>
        <w:rPr>
          <w:rFonts w:ascii="Open Sans" w:hAnsi="Open Sans" w:cs="Open Sans"/>
          <w:color w:val="000000" w:themeColor="text1"/>
        </w:rPr>
      </w:pPr>
    </w:p>
    <w:p w14:paraId="1D13E7D6" w14:textId="77777777" w:rsidR="00C47E6E" w:rsidRDefault="00C47E6E" w:rsidP="000F099B">
      <w:pPr>
        <w:pStyle w:val="Sinespaciado"/>
        <w:rPr>
          <w:rFonts w:ascii="Open Sans" w:hAnsi="Open Sans" w:cs="Open Sans"/>
          <w:color w:val="000000" w:themeColor="text1"/>
        </w:rPr>
      </w:pPr>
    </w:p>
    <w:p w14:paraId="1FB1C01B" w14:textId="77777777" w:rsidR="00C47E6E" w:rsidRDefault="00C47E6E" w:rsidP="000F099B">
      <w:pPr>
        <w:pStyle w:val="Sinespaciado"/>
        <w:rPr>
          <w:rFonts w:ascii="Open Sans" w:hAnsi="Open Sans" w:cs="Open Sans"/>
          <w:color w:val="000000" w:themeColor="text1"/>
        </w:rPr>
      </w:pPr>
    </w:p>
    <w:p w14:paraId="01238A9A" w14:textId="77777777" w:rsidR="000F099B" w:rsidRPr="006812C9" w:rsidRDefault="000F099B" w:rsidP="000F099B">
      <w:pPr>
        <w:pStyle w:val="Sinespaciado"/>
        <w:rPr>
          <w:rFonts w:ascii="Open Sans" w:hAnsi="Open Sans" w:cs="Open Sans"/>
          <w:color w:val="000000" w:themeColor="text1"/>
        </w:rPr>
      </w:pPr>
    </w:p>
    <w:p w14:paraId="4B88F1AA" w14:textId="77777777" w:rsidR="000F099B" w:rsidRDefault="000F099B" w:rsidP="000F099B">
      <w:pPr>
        <w:rPr>
          <w:rFonts w:ascii="Open Sans" w:hAnsi="Open Sans" w:cs="Open Sans"/>
          <w:color w:val="000000" w:themeColor="text1"/>
        </w:rPr>
      </w:pPr>
      <w:r w:rsidRPr="00C37EF4">
        <w:rPr>
          <w:rFonts w:ascii="Open Sans" w:hAnsi="Open Sans" w:cs="Open Sans"/>
          <w:color w:val="000000" w:themeColor="text1"/>
        </w:rPr>
        <w:t>El esquema presenta las siguientes características de cada uno de los niveles de madurez, con su descripción general.</w:t>
      </w:r>
    </w:p>
    <w:p w14:paraId="5FABD7AE" w14:textId="77777777" w:rsidR="000F099B" w:rsidRPr="000F08AC" w:rsidRDefault="000F099B" w:rsidP="000F099B">
      <w:pPr>
        <w:pStyle w:val="Sinespaciado"/>
      </w:pPr>
    </w:p>
    <w:tbl>
      <w:tblPr>
        <w:tblW w:w="9213" w:type="dxa"/>
        <w:tblInd w:w="-10" w:type="dxa"/>
        <w:tblCellMar>
          <w:left w:w="70" w:type="dxa"/>
          <w:right w:w="70" w:type="dxa"/>
        </w:tblCellMar>
        <w:tblLook w:val="04A0" w:firstRow="1" w:lastRow="0" w:firstColumn="1" w:lastColumn="0" w:noHBand="0" w:noVBand="1"/>
      </w:tblPr>
      <w:tblGrid>
        <w:gridCol w:w="1117"/>
        <w:gridCol w:w="1089"/>
        <w:gridCol w:w="3083"/>
        <w:gridCol w:w="4344"/>
      </w:tblGrid>
      <w:tr w:rsidR="000F099B" w:rsidRPr="000F08AC" w14:paraId="7800DC3C" w14:textId="77777777" w:rsidTr="000F099B">
        <w:trPr>
          <w:trHeight w:val="510"/>
          <w:tblHeader/>
        </w:trPr>
        <w:tc>
          <w:tcPr>
            <w:tcW w:w="1009" w:type="dxa"/>
            <w:tcBorders>
              <w:top w:val="single" w:sz="8" w:space="0" w:color="auto"/>
              <w:left w:val="single" w:sz="8" w:space="0" w:color="auto"/>
              <w:bottom w:val="single" w:sz="4" w:space="0" w:color="auto"/>
              <w:right w:val="single" w:sz="4" w:space="0" w:color="auto"/>
            </w:tcBorders>
            <w:shd w:val="clear" w:color="000000" w:fill="0070C0"/>
            <w:noWrap/>
            <w:vAlign w:val="center"/>
            <w:hideMark/>
          </w:tcPr>
          <w:p w14:paraId="5E7E1A1B" w14:textId="77777777" w:rsidR="000F099B" w:rsidRPr="000F08AC" w:rsidRDefault="000F099B" w:rsidP="000F099B">
            <w:pPr>
              <w:jc w:val="center"/>
              <w:rPr>
                <w:rFonts w:asciiTheme="majorHAnsi" w:eastAsia="Times New Roman" w:hAnsiTheme="majorHAnsi" w:cstheme="majorHAnsi"/>
                <w:b/>
                <w:bCs/>
                <w:sz w:val="18"/>
                <w:szCs w:val="20"/>
                <w:lang w:val="es-CO" w:eastAsia="es-CO"/>
              </w:rPr>
            </w:pPr>
            <w:r w:rsidRPr="000F08AC">
              <w:rPr>
                <w:rFonts w:asciiTheme="majorHAnsi" w:eastAsia="Times New Roman" w:hAnsiTheme="majorHAnsi" w:cstheme="majorHAnsi"/>
                <w:b/>
                <w:bCs/>
                <w:sz w:val="18"/>
                <w:szCs w:val="20"/>
                <w:lang w:val="es-CO" w:eastAsia="es-CO"/>
              </w:rPr>
              <w:t>Descripción</w:t>
            </w:r>
          </w:p>
        </w:tc>
        <w:tc>
          <w:tcPr>
            <w:tcW w:w="692" w:type="dxa"/>
            <w:tcBorders>
              <w:top w:val="single" w:sz="8" w:space="0" w:color="auto"/>
              <w:left w:val="single" w:sz="4" w:space="0" w:color="auto"/>
              <w:bottom w:val="single" w:sz="4" w:space="0" w:color="auto"/>
              <w:right w:val="single" w:sz="4" w:space="0" w:color="auto"/>
            </w:tcBorders>
            <w:shd w:val="clear" w:color="000000" w:fill="0070C0"/>
            <w:vAlign w:val="center"/>
            <w:hideMark/>
          </w:tcPr>
          <w:p w14:paraId="26BC6D3B" w14:textId="77777777" w:rsidR="000F099B" w:rsidRPr="000F08AC" w:rsidRDefault="000F099B" w:rsidP="000F099B">
            <w:pPr>
              <w:jc w:val="center"/>
              <w:rPr>
                <w:rFonts w:asciiTheme="majorHAnsi" w:eastAsia="Times New Roman" w:hAnsiTheme="majorHAnsi" w:cstheme="majorHAnsi"/>
                <w:b/>
                <w:bCs/>
                <w:sz w:val="18"/>
                <w:szCs w:val="20"/>
                <w:lang w:val="es-CO" w:eastAsia="es-CO"/>
              </w:rPr>
            </w:pPr>
            <w:r w:rsidRPr="000F08AC">
              <w:rPr>
                <w:rFonts w:asciiTheme="majorHAnsi" w:eastAsia="Times New Roman" w:hAnsiTheme="majorHAnsi" w:cstheme="majorHAnsi"/>
                <w:b/>
                <w:bCs/>
                <w:sz w:val="18"/>
                <w:szCs w:val="20"/>
                <w:lang w:val="es-CO" w:eastAsia="es-CO"/>
              </w:rPr>
              <w:t>Calificación</w:t>
            </w:r>
            <w:r w:rsidRPr="000F08AC">
              <w:rPr>
                <w:rFonts w:asciiTheme="majorHAnsi" w:eastAsia="Times New Roman" w:hAnsiTheme="majorHAnsi" w:cstheme="majorHAnsi"/>
                <w:b/>
                <w:bCs/>
                <w:sz w:val="18"/>
                <w:szCs w:val="20"/>
                <w:lang w:val="es-CO" w:eastAsia="es-CO"/>
              </w:rPr>
              <w:br/>
              <w:t>%</w:t>
            </w:r>
          </w:p>
        </w:tc>
        <w:tc>
          <w:tcPr>
            <w:tcW w:w="3118" w:type="dxa"/>
            <w:tcBorders>
              <w:top w:val="single" w:sz="8" w:space="0" w:color="auto"/>
              <w:left w:val="single" w:sz="4" w:space="0" w:color="auto"/>
              <w:bottom w:val="single" w:sz="4" w:space="0" w:color="auto"/>
              <w:right w:val="single" w:sz="8" w:space="0" w:color="auto"/>
            </w:tcBorders>
            <w:shd w:val="clear" w:color="000000" w:fill="0070C0"/>
            <w:noWrap/>
            <w:vAlign w:val="center"/>
            <w:hideMark/>
          </w:tcPr>
          <w:p w14:paraId="25B727BC" w14:textId="77777777" w:rsidR="000F099B" w:rsidRPr="000F08AC" w:rsidRDefault="000F099B" w:rsidP="000F099B">
            <w:pPr>
              <w:jc w:val="center"/>
              <w:rPr>
                <w:rFonts w:asciiTheme="majorHAnsi" w:eastAsia="Times New Roman" w:hAnsiTheme="majorHAnsi" w:cstheme="majorHAnsi"/>
                <w:b/>
                <w:bCs/>
                <w:sz w:val="18"/>
                <w:szCs w:val="20"/>
                <w:lang w:val="es-CO" w:eastAsia="es-CO"/>
              </w:rPr>
            </w:pPr>
            <w:r w:rsidRPr="000F08AC">
              <w:rPr>
                <w:rFonts w:asciiTheme="majorHAnsi" w:eastAsia="Times New Roman" w:hAnsiTheme="majorHAnsi" w:cstheme="majorHAnsi"/>
                <w:b/>
                <w:bCs/>
                <w:sz w:val="18"/>
                <w:szCs w:val="20"/>
                <w:lang w:val="es-CO" w:eastAsia="es-CO"/>
              </w:rPr>
              <w:t>MPSI</w:t>
            </w:r>
          </w:p>
        </w:tc>
        <w:tc>
          <w:tcPr>
            <w:tcW w:w="4394" w:type="dxa"/>
            <w:tcBorders>
              <w:top w:val="single" w:sz="4" w:space="0" w:color="auto"/>
              <w:left w:val="nil"/>
              <w:bottom w:val="single" w:sz="4" w:space="0" w:color="auto"/>
              <w:right w:val="single" w:sz="4" w:space="0" w:color="auto"/>
            </w:tcBorders>
            <w:shd w:val="clear" w:color="000000" w:fill="0070C0"/>
            <w:noWrap/>
            <w:vAlign w:val="center"/>
            <w:hideMark/>
          </w:tcPr>
          <w:p w14:paraId="7E7C0CB8" w14:textId="77777777" w:rsidR="000F099B" w:rsidRPr="000F08AC" w:rsidRDefault="000F099B" w:rsidP="000F099B">
            <w:pPr>
              <w:jc w:val="center"/>
              <w:rPr>
                <w:rFonts w:asciiTheme="majorHAnsi" w:eastAsia="Times New Roman" w:hAnsiTheme="majorHAnsi" w:cstheme="majorHAnsi"/>
                <w:b/>
                <w:bCs/>
                <w:color w:val="000000"/>
                <w:sz w:val="18"/>
                <w:szCs w:val="20"/>
                <w:lang w:val="es-CO" w:eastAsia="es-CO"/>
              </w:rPr>
            </w:pPr>
            <w:r w:rsidRPr="000F08AC">
              <w:rPr>
                <w:rFonts w:asciiTheme="majorHAnsi" w:eastAsia="Times New Roman" w:hAnsiTheme="majorHAnsi" w:cstheme="majorHAnsi"/>
                <w:b/>
                <w:bCs/>
                <w:color w:val="000000"/>
                <w:sz w:val="18"/>
                <w:szCs w:val="20"/>
                <w:lang w:val="es-CO" w:eastAsia="es-CO"/>
              </w:rPr>
              <w:t>Nivel de Madurez Controles</w:t>
            </w:r>
          </w:p>
        </w:tc>
      </w:tr>
      <w:tr w:rsidR="000F099B" w:rsidRPr="000F08AC" w14:paraId="32F6C9CD" w14:textId="77777777" w:rsidTr="000F099B">
        <w:trPr>
          <w:cantSplit/>
          <w:trHeight w:val="1785"/>
        </w:trPr>
        <w:tc>
          <w:tcPr>
            <w:tcW w:w="1009" w:type="dxa"/>
            <w:tcBorders>
              <w:top w:val="single" w:sz="4" w:space="0" w:color="auto"/>
              <w:left w:val="single" w:sz="8" w:space="0" w:color="auto"/>
              <w:bottom w:val="single" w:sz="4" w:space="0" w:color="auto"/>
              <w:right w:val="single" w:sz="4" w:space="0" w:color="auto"/>
            </w:tcBorders>
            <w:shd w:val="clear" w:color="000000" w:fill="FF0000"/>
            <w:textDirection w:val="btLr"/>
            <w:vAlign w:val="center"/>
            <w:hideMark/>
          </w:tcPr>
          <w:p w14:paraId="540DF17E" w14:textId="77777777" w:rsidR="000F099B" w:rsidRPr="000F08AC" w:rsidRDefault="000F099B" w:rsidP="000F099B">
            <w:pPr>
              <w:ind w:left="113" w:right="113"/>
              <w:jc w:val="center"/>
              <w:rPr>
                <w:rFonts w:asciiTheme="majorHAnsi" w:eastAsia="Times New Roman" w:hAnsiTheme="majorHAnsi" w:cstheme="majorHAnsi"/>
                <w:sz w:val="18"/>
                <w:szCs w:val="20"/>
                <w:lang w:val="es-CO" w:eastAsia="es-CO"/>
              </w:rPr>
            </w:pPr>
            <w:r w:rsidRPr="000F08AC">
              <w:rPr>
                <w:rFonts w:asciiTheme="majorHAnsi" w:eastAsia="Times New Roman" w:hAnsiTheme="majorHAnsi" w:cstheme="majorHAnsi"/>
                <w:sz w:val="18"/>
                <w:szCs w:val="20"/>
                <w:lang w:val="es-CO" w:eastAsia="es-CO"/>
              </w:rPr>
              <w:t>Inexistente</w:t>
            </w:r>
          </w:p>
        </w:tc>
        <w:tc>
          <w:tcPr>
            <w:tcW w:w="692" w:type="dxa"/>
            <w:tcBorders>
              <w:top w:val="nil"/>
              <w:left w:val="nil"/>
              <w:bottom w:val="single" w:sz="4" w:space="0" w:color="auto"/>
              <w:right w:val="single" w:sz="4" w:space="0" w:color="auto"/>
            </w:tcBorders>
            <w:shd w:val="clear" w:color="auto" w:fill="auto"/>
            <w:vAlign w:val="center"/>
            <w:hideMark/>
          </w:tcPr>
          <w:p w14:paraId="35F646D1" w14:textId="77777777" w:rsidR="000F099B" w:rsidRPr="000F08AC" w:rsidRDefault="000F099B" w:rsidP="000F099B">
            <w:pPr>
              <w:jc w:val="center"/>
              <w:rPr>
                <w:rFonts w:asciiTheme="majorHAnsi" w:eastAsia="Times New Roman" w:hAnsiTheme="majorHAnsi" w:cstheme="majorHAnsi"/>
                <w:sz w:val="18"/>
                <w:szCs w:val="20"/>
                <w:lang w:val="es-CO" w:eastAsia="es-CO"/>
              </w:rPr>
            </w:pPr>
            <w:r w:rsidRPr="000F08AC">
              <w:rPr>
                <w:rFonts w:asciiTheme="majorHAnsi" w:eastAsia="Times New Roman" w:hAnsiTheme="majorHAnsi" w:cstheme="majorHAnsi"/>
                <w:sz w:val="18"/>
                <w:szCs w:val="20"/>
                <w:lang w:val="es-CO" w:eastAsia="es-CO"/>
              </w:rPr>
              <w:t>0</w:t>
            </w:r>
          </w:p>
        </w:tc>
        <w:tc>
          <w:tcPr>
            <w:tcW w:w="311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40783D0" w14:textId="77777777" w:rsidR="000F099B" w:rsidRPr="000F08AC" w:rsidRDefault="000F099B" w:rsidP="000F099B">
            <w:pPr>
              <w:rPr>
                <w:rFonts w:asciiTheme="majorHAnsi" w:eastAsia="Times New Roman" w:hAnsiTheme="majorHAnsi" w:cstheme="majorHAnsi"/>
                <w:sz w:val="18"/>
                <w:szCs w:val="20"/>
                <w:lang w:val="es-CO" w:eastAsia="es-CO"/>
              </w:rPr>
            </w:pPr>
            <w:r w:rsidRPr="000F08AC">
              <w:rPr>
                <w:rFonts w:asciiTheme="majorHAnsi" w:eastAsia="Times New Roman" w:hAnsiTheme="majorHAnsi" w:cstheme="majorHAnsi"/>
                <w:sz w:val="18"/>
                <w:szCs w:val="20"/>
                <w:lang w:val="es-CO" w:eastAsia="es-CO"/>
              </w:rPr>
              <w:t>* Total falta de cualquier proceso reconocible.</w:t>
            </w:r>
            <w:r w:rsidRPr="000F08AC">
              <w:rPr>
                <w:rFonts w:asciiTheme="majorHAnsi" w:eastAsia="Times New Roman" w:hAnsiTheme="majorHAnsi" w:cstheme="majorHAnsi"/>
                <w:sz w:val="18"/>
                <w:szCs w:val="20"/>
                <w:lang w:val="es-CO" w:eastAsia="es-CO"/>
              </w:rPr>
              <w:br/>
              <w:t xml:space="preserve">* La institución ni siquiera ha reconocido que hay un problema a tratar. </w:t>
            </w:r>
            <w:r w:rsidRPr="000F08AC">
              <w:rPr>
                <w:rFonts w:asciiTheme="majorHAnsi" w:eastAsia="Times New Roman" w:hAnsiTheme="majorHAnsi" w:cstheme="majorHAnsi"/>
                <w:sz w:val="18"/>
                <w:szCs w:val="20"/>
                <w:lang w:val="es-CO" w:eastAsia="es-CO"/>
              </w:rPr>
              <w:br/>
              <w:t>* No se aplican controles.</w:t>
            </w:r>
          </w:p>
        </w:tc>
        <w:tc>
          <w:tcPr>
            <w:tcW w:w="4394" w:type="dxa"/>
            <w:tcBorders>
              <w:top w:val="nil"/>
              <w:left w:val="nil"/>
              <w:bottom w:val="single" w:sz="4" w:space="0" w:color="auto"/>
              <w:right w:val="single" w:sz="4" w:space="0" w:color="auto"/>
            </w:tcBorders>
            <w:shd w:val="clear" w:color="auto" w:fill="auto"/>
            <w:vAlign w:val="center"/>
            <w:hideMark/>
          </w:tcPr>
          <w:p w14:paraId="6F588BC4" w14:textId="77777777" w:rsidR="000F099B" w:rsidRPr="000F08AC" w:rsidRDefault="000F099B" w:rsidP="000F099B">
            <w:pPr>
              <w:rPr>
                <w:rFonts w:asciiTheme="majorHAnsi" w:eastAsia="Times New Roman" w:hAnsiTheme="majorHAnsi" w:cstheme="majorHAnsi"/>
                <w:color w:val="000000"/>
                <w:sz w:val="18"/>
                <w:szCs w:val="20"/>
                <w:lang w:val="es-CO" w:eastAsia="es-CO"/>
              </w:rPr>
            </w:pPr>
            <w:r w:rsidRPr="000F08AC">
              <w:rPr>
                <w:rFonts w:asciiTheme="majorHAnsi" w:eastAsia="Times New Roman" w:hAnsiTheme="majorHAnsi" w:cstheme="majorHAnsi"/>
                <w:color w:val="000000"/>
                <w:sz w:val="18"/>
                <w:szCs w:val="20"/>
                <w:lang w:val="es-CO" w:eastAsia="es-CO"/>
              </w:rPr>
              <w:t>* Se han implementado controles en su infraestructura de TI, seguridad física, seguridad de recursos humanos entre otros, sin embargo, no están alineados a un Modelo de Seguridad.</w:t>
            </w:r>
            <w:r w:rsidRPr="000F08AC">
              <w:rPr>
                <w:rFonts w:asciiTheme="majorHAnsi" w:eastAsia="Times New Roman" w:hAnsiTheme="majorHAnsi" w:cstheme="majorHAnsi"/>
                <w:color w:val="000000"/>
                <w:sz w:val="18"/>
                <w:szCs w:val="20"/>
                <w:lang w:val="es-CO" w:eastAsia="es-CO"/>
              </w:rPr>
              <w:br/>
              <w:t>* No se reconoce la información como un activo importante para su misión y objetivos estratégicos.</w:t>
            </w:r>
            <w:r w:rsidRPr="000F08AC">
              <w:rPr>
                <w:rFonts w:asciiTheme="majorHAnsi" w:eastAsia="Times New Roman" w:hAnsiTheme="majorHAnsi" w:cstheme="majorHAnsi"/>
                <w:color w:val="000000"/>
                <w:sz w:val="18"/>
                <w:szCs w:val="20"/>
                <w:lang w:val="es-CO" w:eastAsia="es-CO"/>
              </w:rPr>
              <w:br/>
              <w:t>* No se tiene conciencia de la importancia de la seguridad de la información en la institución.</w:t>
            </w:r>
          </w:p>
        </w:tc>
      </w:tr>
      <w:tr w:rsidR="000F099B" w:rsidRPr="000F08AC" w14:paraId="24125C04" w14:textId="77777777" w:rsidTr="000F099B">
        <w:trPr>
          <w:cantSplit/>
          <w:trHeight w:val="1785"/>
        </w:trPr>
        <w:tc>
          <w:tcPr>
            <w:tcW w:w="1009" w:type="dxa"/>
            <w:tcBorders>
              <w:top w:val="single" w:sz="4" w:space="0" w:color="auto"/>
              <w:left w:val="single" w:sz="8" w:space="0" w:color="auto"/>
              <w:bottom w:val="single" w:sz="4" w:space="0" w:color="auto"/>
              <w:right w:val="single" w:sz="4" w:space="0" w:color="auto"/>
            </w:tcBorders>
            <w:shd w:val="clear" w:color="000000" w:fill="E26B0A"/>
            <w:textDirection w:val="btLr"/>
            <w:vAlign w:val="center"/>
            <w:hideMark/>
          </w:tcPr>
          <w:p w14:paraId="40A89105" w14:textId="77777777" w:rsidR="000F099B" w:rsidRPr="000F08AC" w:rsidRDefault="000F099B" w:rsidP="000F099B">
            <w:pPr>
              <w:ind w:left="113" w:right="113"/>
              <w:jc w:val="center"/>
              <w:rPr>
                <w:rFonts w:asciiTheme="majorHAnsi" w:eastAsia="Times New Roman" w:hAnsiTheme="majorHAnsi" w:cstheme="majorHAnsi"/>
                <w:sz w:val="18"/>
                <w:szCs w:val="20"/>
                <w:lang w:val="es-CO" w:eastAsia="es-CO"/>
              </w:rPr>
            </w:pPr>
            <w:r w:rsidRPr="000F08AC">
              <w:rPr>
                <w:rFonts w:asciiTheme="majorHAnsi" w:eastAsia="Times New Roman" w:hAnsiTheme="majorHAnsi" w:cstheme="majorHAnsi"/>
                <w:sz w:val="18"/>
                <w:szCs w:val="20"/>
                <w:lang w:val="es-CO" w:eastAsia="es-CO"/>
              </w:rPr>
              <w:t>Inicial</w:t>
            </w:r>
          </w:p>
        </w:tc>
        <w:tc>
          <w:tcPr>
            <w:tcW w:w="692" w:type="dxa"/>
            <w:tcBorders>
              <w:top w:val="nil"/>
              <w:left w:val="nil"/>
              <w:bottom w:val="single" w:sz="4" w:space="0" w:color="auto"/>
              <w:right w:val="single" w:sz="4" w:space="0" w:color="auto"/>
            </w:tcBorders>
            <w:shd w:val="clear" w:color="auto" w:fill="auto"/>
            <w:vAlign w:val="center"/>
            <w:hideMark/>
          </w:tcPr>
          <w:p w14:paraId="1DD0349A" w14:textId="77777777" w:rsidR="000F099B" w:rsidRPr="000F08AC" w:rsidRDefault="000F099B" w:rsidP="000F099B">
            <w:pPr>
              <w:jc w:val="center"/>
              <w:rPr>
                <w:rFonts w:asciiTheme="majorHAnsi" w:eastAsia="Times New Roman" w:hAnsiTheme="majorHAnsi" w:cstheme="majorHAnsi"/>
                <w:color w:val="000000"/>
                <w:sz w:val="18"/>
                <w:szCs w:val="20"/>
                <w:lang w:val="es-CO" w:eastAsia="es-CO"/>
              </w:rPr>
            </w:pPr>
            <w:r w:rsidRPr="000F08AC">
              <w:rPr>
                <w:rFonts w:asciiTheme="majorHAnsi" w:eastAsia="Times New Roman" w:hAnsiTheme="majorHAnsi" w:cstheme="majorHAnsi"/>
                <w:color w:val="000000"/>
                <w:sz w:val="18"/>
                <w:szCs w:val="20"/>
                <w:lang w:eastAsia="es-CO"/>
              </w:rPr>
              <w:t>1% a 20%</w:t>
            </w:r>
          </w:p>
        </w:tc>
        <w:tc>
          <w:tcPr>
            <w:tcW w:w="311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77EABDF" w14:textId="77777777" w:rsidR="000F099B" w:rsidRPr="000F08AC" w:rsidRDefault="000F099B" w:rsidP="000F099B">
            <w:pPr>
              <w:rPr>
                <w:rFonts w:asciiTheme="majorHAnsi" w:eastAsia="Times New Roman" w:hAnsiTheme="majorHAnsi" w:cstheme="majorHAnsi"/>
                <w:sz w:val="18"/>
                <w:szCs w:val="20"/>
                <w:lang w:val="es-CO" w:eastAsia="es-CO"/>
              </w:rPr>
            </w:pPr>
            <w:r w:rsidRPr="000F08AC">
              <w:rPr>
                <w:rFonts w:asciiTheme="majorHAnsi" w:eastAsia="Times New Roman" w:hAnsiTheme="majorHAnsi" w:cstheme="majorHAnsi"/>
                <w:sz w:val="18"/>
                <w:szCs w:val="20"/>
                <w:lang w:val="es-CO" w:eastAsia="es-CO"/>
              </w:rPr>
              <w:t xml:space="preserve">* Hay una evidencia de que la institución ha reconocido que existe un problema y que hay que tratarlo. </w:t>
            </w:r>
            <w:r w:rsidRPr="000F08AC">
              <w:rPr>
                <w:rFonts w:asciiTheme="majorHAnsi" w:eastAsia="Times New Roman" w:hAnsiTheme="majorHAnsi" w:cstheme="majorHAnsi"/>
                <w:sz w:val="18"/>
                <w:szCs w:val="20"/>
                <w:lang w:val="es-CO" w:eastAsia="es-CO"/>
              </w:rPr>
              <w:br/>
              <w:t xml:space="preserve">* No hay procesos estandarizados. </w:t>
            </w:r>
            <w:r w:rsidRPr="000F08AC">
              <w:rPr>
                <w:rFonts w:asciiTheme="majorHAnsi" w:eastAsia="Times New Roman" w:hAnsiTheme="majorHAnsi" w:cstheme="majorHAnsi"/>
                <w:sz w:val="18"/>
                <w:szCs w:val="20"/>
                <w:lang w:val="es-CO" w:eastAsia="es-CO"/>
              </w:rPr>
              <w:br/>
              <w:t xml:space="preserve">* La implementación de un control depende de cada individuo y es principalmente reactiva. </w:t>
            </w:r>
            <w:r w:rsidRPr="000F08AC">
              <w:rPr>
                <w:rFonts w:asciiTheme="majorHAnsi" w:eastAsia="Times New Roman" w:hAnsiTheme="majorHAnsi" w:cstheme="majorHAnsi"/>
                <w:sz w:val="18"/>
                <w:szCs w:val="20"/>
                <w:lang w:val="es-CO" w:eastAsia="es-CO"/>
              </w:rPr>
              <w:br/>
              <w:t>* Se cuenta con procedimientos documentados, pero no son conocidos y/o no se aplican.</w:t>
            </w:r>
          </w:p>
        </w:tc>
        <w:tc>
          <w:tcPr>
            <w:tcW w:w="4394" w:type="dxa"/>
            <w:tcBorders>
              <w:top w:val="nil"/>
              <w:left w:val="nil"/>
              <w:bottom w:val="single" w:sz="4" w:space="0" w:color="auto"/>
              <w:right w:val="single" w:sz="4" w:space="0" w:color="auto"/>
            </w:tcBorders>
            <w:shd w:val="clear" w:color="auto" w:fill="auto"/>
            <w:vAlign w:val="center"/>
            <w:hideMark/>
          </w:tcPr>
          <w:p w14:paraId="31945F22" w14:textId="77777777" w:rsidR="000F099B" w:rsidRPr="000F08AC" w:rsidRDefault="000F099B" w:rsidP="000F099B">
            <w:pPr>
              <w:rPr>
                <w:rFonts w:asciiTheme="majorHAnsi" w:eastAsia="Times New Roman" w:hAnsiTheme="majorHAnsi" w:cstheme="majorHAnsi"/>
                <w:color w:val="000000"/>
                <w:sz w:val="18"/>
                <w:szCs w:val="20"/>
                <w:lang w:val="es-CO" w:eastAsia="es-CO"/>
              </w:rPr>
            </w:pPr>
            <w:r w:rsidRPr="000F08AC">
              <w:rPr>
                <w:rFonts w:asciiTheme="majorHAnsi" w:eastAsia="Times New Roman" w:hAnsiTheme="majorHAnsi" w:cstheme="majorHAnsi"/>
                <w:color w:val="000000"/>
                <w:sz w:val="18"/>
                <w:szCs w:val="20"/>
                <w:lang w:val="es-CO" w:eastAsia="es-CO"/>
              </w:rPr>
              <w:t>* Se han identificado las debilidades en la seguridad de la información.</w:t>
            </w:r>
            <w:r w:rsidRPr="000F08AC">
              <w:rPr>
                <w:rFonts w:asciiTheme="majorHAnsi" w:eastAsia="Times New Roman" w:hAnsiTheme="majorHAnsi" w:cstheme="majorHAnsi"/>
                <w:color w:val="000000"/>
                <w:sz w:val="18"/>
                <w:szCs w:val="20"/>
                <w:lang w:val="es-CO" w:eastAsia="es-CO"/>
              </w:rPr>
              <w:br/>
              <w:t>* Los incidentes de seguridad de la información se tratan de forma reactiva.</w:t>
            </w:r>
            <w:r w:rsidRPr="000F08AC">
              <w:rPr>
                <w:rFonts w:asciiTheme="majorHAnsi" w:eastAsia="Times New Roman" w:hAnsiTheme="majorHAnsi" w:cstheme="majorHAnsi"/>
                <w:color w:val="000000"/>
                <w:sz w:val="18"/>
                <w:szCs w:val="20"/>
                <w:lang w:val="es-CO" w:eastAsia="es-CO"/>
              </w:rPr>
              <w:br/>
              <w:t>* Se tiene la necesidad de implementar el SGSI-PDP, para definir políticas, procesos y procedimientos que den respuesta proactiva a las amenazas sobre seguridad de la información que se presentan en la institución.</w:t>
            </w:r>
          </w:p>
        </w:tc>
      </w:tr>
      <w:tr w:rsidR="000F099B" w:rsidRPr="000F08AC" w14:paraId="50E1E891" w14:textId="77777777" w:rsidTr="000F099B">
        <w:trPr>
          <w:cantSplit/>
          <w:trHeight w:val="2040"/>
        </w:trPr>
        <w:tc>
          <w:tcPr>
            <w:tcW w:w="1009" w:type="dxa"/>
            <w:tcBorders>
              <w:top w:val="single" w:sz="4" w:space="0" w:color="auto"/>
              <w:left w:val="single" w:sz="8" w:space="0" w:color="auto"/>
              <w:bottom w:val="single" w:sz="4" w:space="0" w:color="auto"/>
              <w:right w:val="single" w:sz="4" w:space="0" w:color="auto"/>
            </w:tcBorders>
            <w:shd w:val="clear" w:color="000000" w:fill="FFFF00"/>
            <w:textDirection w:val="btLr"/>
            <w:vAlign w:val="center"/>
            <w:hideMark/>
          </w:tcPr>
          <w:p w14:paraId="6F60D5EC" w14:textId="77777777" w:rsidR="000F099B" w:rsidRPr="000F08AC" w:rsidRDefault="000F099B" w:rsidP="000F099B">
            <w:pPr>
              <w:ind w:left="113" w:right="113"/>
              <w:jc w:val="center"/>
              <w:rPr>
                <w:rFonts w:asciiTheme="majorHAnsi" w:eastAsia="Times New Roman" w:hAnsiTheme="majorHAnsi" w:cstheme="majorHAnsi"/>
                <w:sz w:val="18"/>
                <w:szCs w:val="20"/>
                <w:lang w:val="es-CO" w:eastAsia="es-CO"/>
              </w:rPr>
            </w:pPr>
            <w:r w:rsidRPr="000F08AC">
              <w:rPr>
                <w:rFonts w:asciiTheme="majorHAnsi" w:eastAsia="Times New Roman" w:hAnsiTheme="majorHAnsi" w:cstheme="majorHAnsi"/>
                <w:sz w:val="18"/>
                <w:szCs w:val="20"/>
                <w:lang w:val="es-CO" w:eastAsia="es-CO"/>
              </w:rPr>
              <w:t>Repetible</w:t>
            </w:r>
          </w:p>
        </w:tc>
        <w:tc>
          <w:tcPr>
            <w:tcW w:w="692" w:type="dxa"/>
            <w:tcBorders>
              <w:top w:val="nil"/>
              <w:left w:val="nil"/>
              <w:bottom w:val="single" w:sz="4" w:space="0" w:color="auto"/>
              <w:right w:val="single" w:sz="4" w:space="0" w:color="auto"/>
            </w:tcBorders>
            <w:shd w:val="clear" w:color="auto" w:fill="auto"/>
            <w:vAlign w:val="center"/>
            <w:hideMark/>
          </w:tcPr>
          <w:p w14:paraId="70FBC215" w14:textId="77777777" w:rsidR="000F099B" w:rsidRPr="000F08AC" w:rsidRDefault="000F099B" w:rsidP="000F099B">
            <w:pPr>
              <w:jc w:val="center"/>
              <w:rPr>
                <w:rFonts w:asciiTheme="majorHAnsi" w:eastAsia="Times New Roman" w:hAnsiTheme="majorHAnsi" w:cstheme="majorHAnsi"/>
                <w:color w:val="000000"/>
                <w:sz w:val="18"/>
                <w:szCs w:val="20"/>
                <w:lang w:val="es-CO" w:eastAsia="es-CO"/>
              </w:rPr>
            </w:pPr>
            <w:r w:rsidRPr="000F08AC">
              <w:rPr>
                <w:rFonts w:asciiTheme="majorHAnsi" w:eastAsia="Times New Roman" w:hAnsiTheme="majorHAnsi" w:cstheme="majorHAnsi"/>
                <w:color w:val="000000"/>
                <w:sz w:val="18"/>
                <w:szCs w:val="20"/>
                <w:lang w:eastAsia="es-CO"/>
              </w:rPr>
              <w:t>21% a 40%</w:t>
            </w:r>
          </w:p>
        </w:tc>
        <w:tc>
          <w:tcPr>
            <w:tcW w:w="311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5518982" w14:textId="77777777" w:rsidR="000F099B" w:rsidRPr="000F08AC" w:rsidRDefault="000F099B" w:rsidP="000F099B">
            <w:pPr>
              <w:rPr>
                <w:rFonts w:asciiTheme="majorHAnsi" w:eastAsia="Times New Roman" w:hAnsiTheme="majorHAnsi" w:cstheme="majorHAnsi"/>
                <w:sz w:val="18"/>
                <w:szCs w:val="20"/>
                <w:lang w:val="es-CO" w:eastAsia="es-CO"/>
              </w:rPr>
            </w:pPr>
            <w:r w:rsidRPr="000F08AC">
              <w:rPr>
                <w:rFonts w:asciiTheme="majorHAnsi" w:eastAsia="Times New Roman" w:hAnsiTheme="majorHAnsi" w:cstheme="majorHAnsi"/>
                <w:sz w:val="18"/>
                <w:szCs w:val="20"/>
                <w:lang w:val="es-CO" w:eastAsia="es-CO"/>
              </w:rPr>
              <w:t xml:space="preserve">* Los procesos y los controles siguen un patrón regular. </w:t>
            </w:r>
            <w:r w:rsidRPr="000F08AC">
              <w:rPr>
                <w:rFonts w:asciiTheme="majorHAnsi" w:eastAsia="Times New Roman" w:hAnsiTheme="majorHAnsi" w:cstheme="majorHAnsi"/>
                <w:sz w:val="18"/>
                <w:szCs w:val="20"/>
                <w:lang w:val="es-CO" w:eastAsia="es-CO"/>
              </w:rPr>
              <w:br/>
              <w:t xml:space="preserve">* Los procesos se han desarrollado hasta el punto en que diferentes procedimientos son seguidos por diferentes personas. </w:t>
            </w:r>
            <w:r w:rsidRPr="000F08AC">
              <w:rPr>
                <w:rFonts w:asciiTheme="majorHAnsi" w:eastAsia="Times New Roman" w:hAnsiTheme="majorHAnsi" w:cstheme="majorHAnsi"/>
                <w:sz w:val="18"/>
                <w:szCs w:val="20"/>
                <w:lang w:val="es-CO" w:eastAsia="es-CO"/>
              </w:rPr>
              <w:br/>
              <w:t xml:space="preserve">* No hay formación ni comunicación formal sobre los procedimientos y estándares. </w:t>
            </w:r>
            <w:r w:rsidRPr="000F08AC">
              <w:rPr>
                <w:rFonts w:asciiTheme="majorHAnsi" w:eastAsia="Times New Roman" w:hAnsiTheme="majorHAnsi" w:cstheme="majorHAnsi"/>
                <w:sz w:val="18"/>
                <w:szCs w:val="20"/>
                <w:lang w:val="es-CO" w:eastAsia="es-CO"/>
              </w:rPr>
              <w:br/>
              <w:t>* Hay un alto grado de confianza en los conocimientos de cada persona, por eso hay probabilidad de errores.</w:t>
            </w:r>
          </w:p>
        </w:tc>
        <w:tc>
          <w:tcPr>
            <w:tcW w:w="4394" w:type="dxa"/>
            <w:tcBorders>
              <w:top w:val="nil"/>
              <w:left w:val="nil"/>
              <w:bottom w:val="single" w:sz="4" w:space="0" w:color="auto"/>
              <w:right w:val="single" w:sz="4" w:space="0" w:color="auto"/>
            </w:tcBorders>
            <w:shd w:val="clear" w:color="auto" w:fill="auto"/>
            <w:vAlign w:val="center"/>
            <w:hideMark/>
          </w:tcPr>
          <w:p w14:paraId="2414E6AB" w14:textId="77777777" w:rsidR="000F099B" w:rsidRPr="000F08AC" w:rsidRDefault="000F099B" w:rsidP="000F099B">
            <w:pPr>
              <w:rPr>
                <w:rFonts w:asciiTheme="majorHAnsi" w:eastAsia="Times New Roman" w:hAnsiTheme="majorHAnsi" w:cstheme="majorHAnsi"/>
                <w:color w:val="000000"/>
                <w:sz w:val="18"/>
                <w:szCs w:val="20"/>
                <w:lang w:val="es-CO" w:eastAsia="es-CO"/>
              </w:rPr>
            </w:pPr>
            <w:r w:rsidRPr="000F08AC">
              <w:rPr>
                <w:rFonts w:asciiTheme="majorHAnsi" w:eastAsia="Times New Roman" w:hAnsiTheme="majorHAnsi" w:cstheme="majorHAnsi"/>
                <w:color w:val="000000"/>
                <w:sz w:val="18"/>
                <w:szCs w:val="20"/>
                <w:lang w:val="es-CO" w:eastAsia="es-CO"/>
              </w:rPr>
              <w:t>* Se identifican en forma general los activos de información.</w:t>
            </w:r>
            <w:r w:rsidRPr="000F08AC">
              <w:rPr>
                <w:rFonts w:asciiTheme="majorHAnsi" w:eastAsia="Times New Roman" w:hAnsiTheme="majorHAnsi" w:cstheme="majorHAnsi"/>
                <w:color w:val="000000"/>
                <w:sz w:val="18"/>
                <w:szCs w:val="20"/>
                <w:lang w:val="es-CO" w:eastAsia="es-CO"/>
              </w:rPr>
              <w:br/>
              <w:t>* Se clasifican los activos de información.</w:t>
            </w:r>
            <w:r w:rsidRPr="000F08AC">
              <w:rPr>
                <w:rFonts w:asciiTheme="majorHAnsi" w:eastAsia="Times New Roman" w:hAnsiTheme="majorHAnsi" w:cstheme="majorHAnsi"/>
                <w:color w:val="000000"/>
                <w:sz w:val="18"/>
                <w:szCs w:val="20"/>
                <w:lang w:val="es-CO" w:eastAsia="es-CO"/>
              </w:rPr>
              <w:br/>
              <w:t>* El personal administrativo tiene conciencia de la seguridad de la información.</w:t>
            </w:r>
            <w:r w:rsidRPr="000F08AC">
              <w:rPr>
                <w:rFonts w:asciiTheme="majorHAnsi" w:eastAsia="Times New Roman" w:hAnsiTheme="majorHAnsi" w:cstheme="majorHAnsi"/>
                <w:color w:val="000000"/>
                <w:sz w:val="18"/>
                <w:szCs w:val="20"/>
                <w:lang w:val="es-CO" w:eastAsia="es-CO"/>
              </w:rPr>
              <w:br/>
              <w:t>* Los temas de seguridad y privacidad de la información se tratan en comités de propósito especifico.</w:t>
            </w:r>
          </w:p>
        </w:tc>
      </w:tr>
      <w:tr w:rsidR="000F099B" w:rsidRPr="000F08AC" w14:paraId="1C4D59D2" w14:textId="77777777" w:rsidTr="000F099B">
        <w:trPr>
          <w:cantSplit/>
          <w:trHeight w:val="3825"/>
        </w:trPr>
        <w:tc>
          <w:tcPr>
            <w:tcW w:w="1009" w:type="dxa"/>
            <w:tcBorders>
              <w:top w:val="single" w:sz="4" w:space="0" w:color="auto"/>
              <w:left w:val="single" w:sz="8" w:space="0" w:color="auto"/>
              <w:bottom w:val="single" w:sz="4" w:space="0" w:color="auto"/>
              <w:right w:val="single" w:sz="4" w:space="0" w:color="auto"/>
            </w:tcBorders>
            <w:shd w:val="clear" w:color="000000" w:fill="00B0F0"/>
            <w:textDirection w:val="btLr"/>
            <w:vAlign w:val="center"/>
            <w:hideMark/>
          </w:tcPr>
          <w:p w14:paraId="05A3D03B" w14:textId="77777777" w:rsidR="000F099B" w:rsidRPr="000F08AC" w:rsidRDefault="000F099B" w:rsidP="000F099B">
            <w:pPr>
              <w:ind w:left="113" w:right="113"/>
              <w:jc w:val="center"/>
              <w:rPr>
                <w:rFonts w:asciiTheme="majorHAnsi" w:eastAsia="Times New Roman" w:hAnsiTheme="majorHAnsi" w:cstheme="majorHAnsi"/>
                <w:sz w:val="18"/>
                <w:szCs w:val="20"/>
                <w:lang w:val="es-CO" w:eastAsia="es-CO"/>
              </w:rPr>
            </w:pPr>
            <w:r w:rsidRPr="000F08AC">
              <w:rPr>
                <w:rFonts w:asciiTheme="majorHAnsi" w:eastAsia="Times New Roman" w:hAnsiTheme="majorHAnsi" w:cstheme="majorHAnsi"/>
                <w:sz w:val="18"/>
                <w:szCs w:val="20"/>
                <w:lang w:val="es-CO" w:eastAsia="es-CO"/>
              </w:rPr>
              <w:lastRenderedPageBreak/>
              <w:t>Definido</w:t>
            </w:r>
          </w:p>
        </w:tc>
        <w:tc>
          <w:tcPr>
            <w:tcW w:w="692" w:type="dxa"/>
            <w:tcBorders>
              <w:top w:val="nil"/>
              <w:left w:val="nil"/>
              <w:bottom w:val="single" w:sz="4" w:space="0" w:color="auto"/>
              <w:right w:val="single" w:sz="4" w:space="0" w:color="auto"/>
            </w:tcBorders>
            <w:shd w:val="clear" w:color="auto" w:fill="auto"/>
            <w:vAlign w:val="center"/>
            <w:hideMark/>
          </w:tcPr>
          <w:p w14:paraId="78781AD5" w14:textId="77777777" w:rsidR="000F099B" w:rsidRPr="000F08AC" w:rsidRDefault="000F099B" w:rsidP="000F099B">
            <w:pPr>
              <w:jc w:val="center"/>
              <w:rPr>
                <w:rFonts w:asciiTheme="majorHAnsi" w:eastAsia="Times New Roman" w:hAnsiTheme="majorHAnsi" w:cstheme="majorHAnsi"/>
                <w:color w:val="000000"/>
                <w:sz w:val="18"/>
                <w:szCs w:val="20"/>
                <w:lang w:val="es-CO" w:eastAsia="es-CO"/>
              </w:rPr>
            </w:pPr>
            <w:r w:rsidRPr="000F08AC">
              <w:rPr>
                <w:rFonts w:asciiTheme="majorHAnsi" w:eastAsia="Times New Roman" w:hAnsiTheme="majorHAnsi" w:cstheme="majorHAnsi"/>
                <w:color w:val="000000"/>
                <w:sz w:val="18"/>
                <w:szCs w:val="20"/>
                <w:lang w:eastAsia="es-CO"/>
              </w:rPr>
              <w:t>41% a 60%</w:t>
            </w:r>
          </w:p>
        </w:tc>
        <w:tc>
          <w:tcPr>
            <w:tcW w:w="311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2AA4E72" w14:textId="77777777" w:rsidR="000F099B" w:rsidRPr="000F08AC" w:rsidRDefault="000F099B" w:rsidP="000F099B">
            <w:pPr>
              <w:rPr>
                <w:rFonts w:asciiTheme="majorHAnsi" w:eastAsia="Times New Roman" w:hAnsiTheme="majorHAnsi" w:cstheme="majorHAnsi"/>
                <w:sz w:val="18"/>
                <w:szCs w:val="20"/>
                <w:lang w:val="es-CO" w:eastAsia="es-CO"/>
              </w:rPr>
            </w:pPr>
            <w:r w:rsidRPr="000F08AC">
              <w:rPr>
                <w:rFonts w:asciiTheme="majorHAnsi" w:eastAsia="Times New Roman" w:hAnsiTheme="majorHAnsi" w:cstheme="majorHAnsi"/>
                <w:sz w:val="18"/>
                <w:szCs w:val="20"/>
                <w:lang w:val="es-CO" w:eastAsia="es-CO"/>
              </w:rPr>
              <w:t>* Los procesos y los controles se documentan y se comunican.</w:t>
            </w:r>
            <w:r w:rsidRPr="000F08AC">
              <w:rPr>
                <w:rFonts w:asciiTheme="majorHAnsi" w:eastAsia="Times New Roman" w:hAnsiTheme="majorHAnsi" w:cstheme="majorHAnsi"/>
                <w:sz w:val="18"/>
                <w:szCs w:val="20"/>
                <w:lang w:val="es-CO" w:eastAsia="es-CO"/>
              </w:rPr>
              <w:br/>
              <w:t>* Los controles son efectivos y se aplican casi siempre. Sin embargo, es poco probable la detección de desviaciones, cuando el control no se aplica oportunamente o la forma de aplicarlo no es la indicada.</w:t>
            </w:r>
          </w:p>
        </w:tc>
        <w:tc>
          <w:tcPr>
            <w:tcW w:w="4394" w:type="dxa"/>
            <w:tcBorders>
              <w:top w:val="nil"/>
              <w:left w:val="nil"/>
              <w:bottom w:val="single" w:sz="4" w:space="0" w:color="auto"/>
              <w:right w:val="single" w:sz="4" w:space="0" w:color="auto"/>
            </w:tcBorders>
            <w:shd w:val="clear" w:color="auto" w:fill="auto"/>
            <w:vAlign w:val="center"/>
            <w:hideMark/>
          </w:tcPr>
          <w:p w14:paraId="4A904900" w14:textId="77777777" w:rsidR="000F099B" w:rsidRPr="000F08AC" w:rsidRDefault="000F099B" w:rsidP="000F099B">
            <w:pPr>
              <w:rPr>
                <w:rFonts w:asciiTheme="majorHAnsi" w:eastAsia="Times New Roman" w:hAnsiTheme="majorHAnsi" w:cstheme="majorHAnsi"/>
                <w:color w:val="000000"/>
                <w:sz w:val="18"/>
                <w:szCs w:val="20"/>
                <w:lang w:val="es-CO" w:eastAsia="es-CO"/>
              </w:rPr>
            </w:pPr>
            <w:r w:rsidRPr="000F08AC">
              <w:rPr>
                <w:rFonts w:asciiTheme="majorHAnsi" w:eastAsia="Times New Roman" w:hAnsiTheme="majorHAnsi" w:cstheme="majorHAnsi"/>
                <w:color w:val="000000"/>
                <w:sz w:val="18"/>
                <w:szCs w:val="20"/>
                <w:lang w:val="es-CO" w:eastAsia="es-CO"/>
              </w:rPr>
              <w:t>* La institución ha realizado un diagnóstico que le permite establecer el estado actual de la seguridad de la información.</w:t>
            </w:r>
            <w:r w:rsidRPr="000F08AC">
              <w:rPr>
                <w:rFonts w:asciiTheme="majorHAnsi" w:eastAsia="Times New Roman" w:hAnsiTheme="majorHAnsi" w:cstheme="majorHAnsi"/>
                <w:color w:val="000000"/>
                <w:sz w:val="18"/>
                <w:szCs w:val="20"/>
                <w:lang w:val="es-CO" w:eastAsia="es-CO"/>
              </w:rPr>
              <w:br/>
              <w:t>* La institución ha determinado los objetivos, alcance y límites de la seguridad de la información.</w:t>
            </w:r>
            <w:r w:rsidRPr="000F08AC">
              <w:rPr>
                <w:rFonts w:asciiTheme="majorHAnsi" w:eastAsia="Times New Roman" w:hAnsiTheme="majorHAnsi" w:cstheme="majorHAnsi"/>
                <w:color w:val="000000"/>
                <w:sz w:val="18"/>
                <w:szCs w:val="20"/>
                <w:lang w:val="es-CO" w:eastAsia="es-CO"/>
              </w:rPr>
              <w:br/>
              <w:t>* La institución ha establecido formalmente políticas de Seguridad de la información y estas han sido divulgadas.</w:t>
            </w:r>
            <w:r w:rsidRPr="000F08AC">
              <w:rPr>
                <w:rFonts w:asciiTheme="majorHAnsi" w:eastAsia="Times New Roman" w:hAnsiTheme="majorHAnsi" w:cstheme="majorHAnsi"/>
                <w:color w:val="000000"/>
                <w:sz w:val="18"/>
                <w:szCs w:val="20"/>
                <w:lang w:val="es-CO" w:eastAsia="es-CO"/>
              </w:rPr>
              <w:br/>
              <w:t>* La institución tiene procedimientos formales de seguridad de la Información</w:t>
            </w:r>
            <w:r w:rsidRPr="000F08AC">
              <w:rPr>
                <w:rFonts w:asciiTheme="majorHAnsi" w:eastAsia="Times New Roman" w:hAnsiTheme="majorHAnsi" w:cstheme="majorHAnsi"/>
                <w:color w:val="000000"/>
                <w:sz w:val="18"/>
                <w:szCs w:val="20"/>
                <w:lang w:val="es-CO" w:eastAsia="es-CO"/>
              </w:rPr>
              <w:br/>
              <w:t>* La institución tiene roles y responsabilidades asignados en seguridad y privacidad de la información.</w:t>
            </w:r>
            <w:r w:rsidRPr="000F08AC">
              <w:rPr>
                <w:rFonts w:asciiTheme="majorHAnsi" w:eastAsia="Times New Roman" w:hAnsiTheme="majorHAnsi" w:cstheme="majorHAnsi"/>
                <w:color w:val="000000"/>
                <w:sz w:val="18"/>
                <w:szCs w:val="20"/>
                <w:lang w:val="es-CO" w:eastAsia="es-CO"/>
              </w:rPr>
              <w:br/>
              <w:t>* La institución ha realizado un inventario de activos de información aplicando una metodología.</w:t>
            </w:r>
            <w:r w:rsidRPr="000F08AC">
              <w:rPr>
                <w:rFonts w:asciiTheme="majorHAnsi" w:eastAsia="Times New Roman" w:hAnsiTheme="majorHAnsi" w:cstheme="majorHAnsi"/>
                <w:color w:val="000000"/>
                <w:sz w:val="18"/>
                <w:szCs w:val="20"/>
                <w:lang w:val="es-CO" w:eastAsia="es-CO"/>
              </w:rPr>
              <w:br/>
              <w:t>* La institución trata riesgos de seguridad de la información a través de una metodología.</w:t>
            </w:r>
            <w:r w:rsidRPr="000F08AC">
              <w:rPr>
                <w:rFonts w:asciiTheme="majorHAnsi" w:eastAsia="Times New Roman" w:hAnsiTheme="majorHAnsi" w:cstheme="majorHAnsi"/>
                <w:color w:val="000000"/>
                <w:sz w:val="18"/>
                <w:szCs w:val="20"/>
                <w:lang w:val="es-CO" w:eastAsia="es-CO"/>
              </w:rPr>
              <w:br/>
              <w:t>* Se implementa el plan de tratamiento de riesgos.</w:t>
            </w:r>
          </w:p>
        </w:tc>
      </w:tr>
      <w:tr w:rsidR="000F099B" w:rsidRPr="000F08AC" w14:paraId="7D012350" w14:textId="77777777" w:rsidTr="000F099B">
        <w:trPr>
          <w:cantSplit/>
          <w:trHeight w:val="1530"/>
        </w:trPr>
        <w:tc>
          <w:tcPr>
            <w:tcW w:w="1009" w:type="dxa"/>
            <w:tcBorders>
              <w:top w:val="single" w:sz="4" w:space="0" w:color="auto"/>
              <w:left w:val="single" w:sz="8" w:space="0" w:color="auto"/>
              <w:bottom w:val="single" w:sz="4" w:space="0" w:color="auto"/>
              <w:right w:val="single" w:sz="4" w:space="0" w:color="auto"/>
            </w:tcBorders>
            <w:shd w:val="clear" w:color="000000" w:fill="0070C0"/>
            <w:textDirection w:val="btLr"/>
            <w:vAlign w:val="center"/>
            <w:hideMark/>
          </w:tcPr>
          <w:p w14:paraId="5E7B9871" w14:textId="77777777" w:rsidR="000F099B" w:rsidRPr="000F08AC" w:rsidRDefault="000F099B" w:rsidP="000F099B">
            <w:pPr>
              <w:ind w:left="113" w:right="113"/>
              <w:jc w:val="center"/>
              <w:rPr>
                <w:rFonts w:asciiTheme="majorHAnsi" w:eastAsia="Times New Roman" w:hAnsiTheme="majorHAnsi" w:cstheme="majorHAnsi"/>
                <w:sz w:val="18"/>
                <w:szCs w:val="20"/>
                <w:lang w:val="es-CO" w:eastAsia="es-CO"/>
              </w:rPr>
            </w:pPr>
            <w:r w:rsidRPr="000F08AC">
              <w:rPr>
                <w:rFonts w:asciiTheme="majorHAnsi" w:eastAsia="Times New Roman" w:hAnsiTheme="majorHAnsi" w:cstheme="majorHAnsi"/>
                <w:sz w:val="18"/>
                <w:szCs w:val="20"/>
                <w:lang w:val="es-CO" w:eastAsia="es-CO"/>
              </w:rPr>
              <w:t>Administrado</w:t>
            </w:r>
          </w:p>
        </w:tc>
        <w:tc>
          <w:tcPr>
            <w:tcW w:w="692" w:type="dxa"/>
            <w:tcBorders>
              <w:top w:val="nil"/>
              <w:left w:val="nil"/>
              <w:bottom w:val="single" w:sz="4" w:space="0" w:color="auto"/>
              <w:right w:val="single" w:sz="4" w:space="0" w:color="auto"/>
            </w:tcBorders>
            <w:shd w:val="clear" w:color="auto" w:fill="auto"/>
            <w:vAlign w:val="center"/>
            <w:hideMark/>
          </w:tcPr>
          <w:p w14:paraId="46940802" w14:textId="77777777" w:rsidR="000F099B" w:rsidRPr="000F08AC" w:rsidRDefault="000F099B" w:rsidP="000F099B">
            <w:pPr>
              <w:jc w:val="center"/>
              <w:rPr>
                <w:rFonts w:asciiTheme="majorHAnsi" w:eastAsia="Times New Roman" w:hAnsiTheme="majorHAnsi" w:cstheme="majorHAnsi"/>
                <w:color w:val="000000"/>
                <w:sz w:val="18"/>
                <w:szCs w:val="20"/>
                <w:lang w:val="es-CO" w:eastAsia="es-CO"/>
              </w:rPr>
            </w:pPr>
            <w:r w:rsidRPr="000F08AC">
              <w:rPr>
                <w:rFonts w:asciiTheme="majorHAnsi" w:eastAsia="Times New Roman" w:hAnsiTheme="majorHAnsi" w:cstheme="majorHAnsi"/>
                <w:color w:val="000000"/>
                <w:sz w:val="18"/>
                <w:szCs w:val="20"/>
                <w:lang w:eastAsia="es-CO"/>
              </w:rPr>
              <w:t>61% a 80%</w:t>
            </w:r>
          </w:p>
        </w:tc>
        <w:tc>
          <w:tcPr>
            <w:tcW w:w="311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8041037" w14:textId="77777777" w:rsidR="000F099B" w:rsidRPr="000F08AC" w:rsidRDefault="000F099B" w:rsidP="000F099B">
            <w:pPr>
              <w:rPr>
                <w:rFonts w:asciiTheme="majorHAnsi" w:eastAsia="Times New Roman" w:hAnsiTheme="majorHAnsi" w:cstheme="majorHAnsi"/>
                <w:sz w:val="18"/>
                <w:szCs w:val="20"/>
                <w:lang w:val="es-CO" w:eastAsia="es-CO"/>
              </w:rPr>
            </w:pPr>
            <w:r w:rsidRPr="000F08AC">
              <w:rPr>
                <w:rFonts w:asciiTheme="majorHAnsi" w:eastAsia="Times New Roman" w:hAnsiTheme="majorHAnsi" w:cstheme="majorHAnsi"/>
                <w:sz w:val="18"/>
                <w:szCs w:val="20"/>
                <w:lang w:val="es-CO" w:eastAsia="es-CO"/>
              </w:rPr>
              <w:t xml:space="preserve">* Los controles se monitorean y se miden. </w:t>
            </w:r>
            <w:r w:rsidRPr="000F08AC">
              <w:rPr>
                <w:rFonts w:asciiTheme="majorHAnsi" w:eastAsia="Times New Roman" w:hAnsiTheme="majorHAnsi" w:cstheme="majorHAnsi"/>
                <w:sz w:val="18"/>
                <w:szCs w:val="20"/>
                <w:lang w:val="es-CO" w:eastAsia="es-CO"/>
              </w:rPr>
              <w:br/>
              <w:t>* Es posible monitorear y medir el cumplimiento de los procedimientos y tomar medidas de acción donde los procesos no estén funcionando eficientemente.</w:t>
            </w:r>
          </w:p>
        </w:tc>
        <w:tc>
          <w:tcPr>
            <w:tcW w:w="4394" w:type="dxa"/>
            <w:tcBorders>
              <w:top w:val="nil"/>
              <w:left w:val="nil"/>
              <w:bottom w:val="single" w:sz="4" w:space="0" w:color="auto"/>
              <w:right w:val="single" w:sz="4" w:space="0" w:color="auto"/>
            </w:tcBorders>
            <w:shd w:val="clear" w:color="auto" w:fill="auto"/>
            <w:vAlign w:val="center"/>
            <w:hideMark/>
          </w:tcPr>
          <w:p w14:paraId="0EEEDF81" w14:textId="77777777" w:rsidR="000F099B" w:rsidRPr="000F08AC" w:rsidRDefault="000F099B" w:rsidP="000F099B">
            <w:pPr>
              <w:rPr>
                <w:rFonts w:asciiTheme="majorHAnsi" w:eastAsia="Times New Roman" w:hAnsiTheme="majorHAnsi" w:cstheme="majorHAnsi"/>
                <w:color w:val="000000"/>
                <w:sz w:val="18"/>
                <w:szCs w:val="20"/>
                <w:lang w:val="es-CO" w:eastAsia="es-CO"/>
              </w:rPr>
            </w:pPr>
            <w:r w:rsidRPr="000F08AC">
              <w:rPr>
                <w:rFonts w:asciiTheme="majorHAnsi" w:eastAsia="Times New Roman" w:hAnsiTheme="majorHAnsi" w:cstheme="majorHAnsi"/>
                <w:color w:val="000000"/>
                <w:sz w:val="18"/>
                <w:szCs w:val="20"/>
                <w:lang w:val="es-CO" w:eastAsia="es-CO"/>
              </w:rPr>
              <w:t>* Se revisa y monitorea periódicamente los activos de información de la institución.</w:t>
            </w:r>
            <w:r w:rsidRPr="000F08AC">
              <w:rPr>
                <w:rFonts w:asciiTheme="majorHAnsi" w:eastAsia="Times New Roman" w:hAnsiTheme="majorHAnsi" w:cstheme="majorHAnsi"/>
                <w:color w:val="000000"/>
                <w:sz w:val="18"/>
                <w:szCs w:val="20"/>
                <w:lang w:val="es-CO" w:eastAsia="es-CO"/>
              </w:rPr>
              <w:br/>
              <w:t>* Se utilizan indicadores para establecer el cumplimiento de las políticas de seguridad y privacidad de la información.</w:t>
            </w:r>
            <w:r w:rsidRPr="000F08AC">
              <w:rPr>
                <w:rFonts w:asciiTheme="majorHAnsi" w:eastAsia="Times New Roman" w:hAnsiTheme="majorHAnsi" w:cstheme="majorHAnsi"/>
                <w:color w:val="000000"/>
                <w:sz w:val="18"/>
                <w:szCs w:val="20"/>
                <w:lang w:val="es-CO" w:eastAsia="es-CO"/>
              </w:rPr>
              <w:br/>
              <w:t>* Se evalúa la efectividad de los controles y medidas necesarias para disminuir los incidentes y prevenir su ocurrencia en el futuro.</w:t>
            </w:r>
          </w:p>
        </w:tc>
      </w:tr>
      <w:tr w:rsidR="000F099B" w:rsidRPr="000F08AC" w14:paraId="2E359B04" w14:textId="77777777" w:rsidTr="000F099B">
        <w:trPr>
          <w:cantSplit/>
          <w:trHeight w:val="1275"/>
        </w:trPr>
        <w:tc>
          <w:tcPr>
            <w:tcW w:w="1009" w:type="dxa"/>
            <w:tcBorders>
              <w:top w:val="single" w:sz="4" w:space="0" w:color="auto"/>
              <w:left w:val="single" w:sz="8" w:space="0" w:color="auto"/>
              <w:bottom w:val="single" w:sz="8" w:space="0" w:color="auto"/>
              <w:right w:val="single" w:sz="4" w:space="0" w:color="auto"/>
            </w:tcBorders>
            <w:shd w:val="clear" w:color="000000" w:fill="008000"/>
            <w:textDirection w:val="btLr"/>
            <w:vAlign w:val="center"/>
            <w:hideMark/>
          </w:tcPr>
          <w:p w14:paraId="2FB4B0E5" w14:textId="77777777" w:rsidR="000F099B" w:rsidRPr="000F08AC" w:rsidRDefault="000F099B" w:rsidP="000F099B">
            <w:pPr>
              <w:ind w:left="113" w:right="113"/>
              <w:jc w:val="center"/>
              <w:rPr>
                <w:rFonts w:asciiTheme="majorHAnsi" w:eastAsia="Times New Roman" w:hAnsiTheme="majorHAnsi" w:cstheme="majorHAnsi"/>
                <w:sz w:val="18"/>
                <w:szCs w:val="20"/>
                <w:lang w:val="es-CO" w:eastAsia="es-CO"/>
              </w:rPr>
            </w:pPr>
            <w:r w:rsidRPr="000F08AC">
              <w:rPr>
                <w:rFonts w:asciiTheme="majorHAnsi" w:eastAsia="Times New Roman" w:hAnsiTheme="majorHAnsi" w:cstheme="majorHAnsi"/>
                <w:sz w:val="18"/>
                <w:szCs w:val="20"/>
                <w:lang w:val="es-CO" w:eastAsia="es-CO"/>
              </w:rPr>
              <w:t>Optimizado</w:t>
            </w:r>
          </w:p>
        </w:tc>
        <w:tc>
          <w:tcPr>
            <w:tcW w:w="692"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41F30C58" w14:textId="77777777" w:rsidR="000F099B" w:rsidRPr="000F08AC" w:rsidRDefault="000F099B" w:rsidP="000F099B">
            <w:pPr>
              <w:jc w:val="center"/>
              <w:rPr>
                <w:rFonts w:asciiTheme="majorHAnsi" w:eastAsia="Times New Roman" w:hAnsiTheme="majorHAnsi" w:cstheme="majorHAnsi"/>
                <w:color w:val="000000"/>
                <w:sz w:val="18"/>
                <w:szCs w:val="20"/>
                <w:lang w:val="es-CO" w:eastAsia="es-CO"/>
              </w:rPr>
            </w:pPr>
            <w:r w:rsidRPr="000F08AC">
              <w:rPr>
                <w:rFonts w:asciiTheme="majorHAnsi" w:eastAsia="Times New Roman" w:hAnsiTheme="majorHAnsi" w:cstheme="majorHAnsi"/>
                <w:color w:val="000000"/>
                <w:sz w:val="18"/>
                <w:szCs w:val="20"/>
                <w:lang w:eastAsia="es-CO"/>
              </w:rPr>
              <w:t>81% a 100%</w:t>
            </w:r>
          </w:p>
        </w:tc>
        <w:tc>
          <w:tcPr>
            <w:tcW w:w="3118"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242D6CEE" w14:textId="77777777" w:rsidR="000F099B" w:rsidRPr="000F08AC" w:rsidRDefault="000F099B" w:rsidP="000F099B">
            <w:pPr>
              <w:rPr>
                <w:rFonts w:asciiTheme="majorHAnsi" w:eastAsia="Times New Roman" w:hAnsiTheme="majorHAnsi" w:cstheme="majorHAnsi"/>
                <w:sz w:val="18"/>
                <w:szCs w:val="20"/>
                <w:lang w:val="es-CO" w:eastAsia="es-CO"/>
              </w:rPr>
            </w:pPr>
            <w:r w:rsidRPr="000F08AC">
              <w:rPr>
                <w:rFonts w:asciiTheme="majorHAnsi" w:eastAsia="Times New Roman" w:hAnsiTheme="majorHAnsi" w:cstheme="majorHAnsi"/>
                <w:sz w:val="18"/>
                <w:szCs w:val="20"/>
                <w:lang w:val="es-CO" w:eastAsia="es-CO"/>
              </w:rPr>
              <w:t xml:space="preserve">* Las buenas prácticas se siguen y automatizan. </w:t>
            </w:r>
            <w:r w:rsidRPr="000F08AC">
              <w:rPr>
                <w:rFonts w:asciiTheme="majorHAnsi" w:eastAsia="Times New Roman" w:hAnsiTheme="majorHAnsi" w:cstheme="majorHAnsi"/>
                <w:sz w:val="18"/>
                <w:szCs w:val="20"/>
                <w:lang w:val="es-CO" w:eastAsia="es-CO"/>
              </w:rPr>
              <w:br/>
              <w:t>* Los procesos han sido redefinidos hasta el nivel de mejores prácticas, basándose en los resultados de una mejora continua.</w:t>
            </w:r>
          </w:p>
        </w:tc>
        <w:tc>
          <w:tcPr>
            <w:tcW w:w="4394" w:type="dxa"/>
            <w:tcBorders>
              <w:top w:val="nil"/>
              <w:left w:val="nil"/>
              <w:bottom w:val="single" w:sz="4" w:space="0" w:color="auto"/>
              <w:right w:val="single" w:sz="4" w:space="0" w:color="auto"/>
            </w:tcBorders>
            <w:shd w:val="clear" w:color="auto" w:fill="auto"/>
            <w:vAlign w:val="center"/>
            <w:hideMark/>
          </w:tcPr>
          <w:p w14:paraId="7DB89B95" w14:textId="77777777" w:rsidR="000F099B" w:rsidRPr="000F08AC" w:rsidRDefault="000F099B" w:rsidP="000F099B">
            <w:pPr>
              <w:rPr>
                <w:rFonts w:asciiTheme="majorHAnsi" w:eastAsia="Times New Roman" w:hAnsiTheme="majorHAnsi" w:cstheme="majorHAnsi"/>
                <w:color w:val="000000"/>
                <w:sz w:val="18"/>
                <w:szCs w:val="20"/>
                <w:lang w:val="es-CO" w:eastAsia="es-CO"/>
              </w:rPr>
            </w:pPr>
            <w:r w:rsidRPr="000F08AC">
              <w:rPr>
                <w:rFonts w:asciiTheme="majorHAnsi" w:eastAsia="Times New Roman" w:hAnsiTheme="majorHAnsi" w:cstheme="majorHAnsi"/>
                <w:color w:val="000000"/>
                <w:sz w:val="18"/>
                <w:szCs w:val="20"/>
                <w:lang w:val="es-CO" w:eastAsia="es-CO"/>
              </w:rPr>
              <w:t>* En este nivel se encuentran las organizaciones en las cuales la seguridad es un valor agregado.</w:t>
            </w:r>
            <w:r w:rsidRPr="000F08AC">
              <w:rPr>
                <w:rFonts w:asciiTheme="majorHAnsi" w:eastAsia="Times New Roman" w:hAnsiTheme="majorHAnsi" w:cstheme="majorHAnsi"/>
                <w:color w:val="000000"/>
                <w:sz w:val="18"/>
                <w:szCs w:val="20"/>
                <w:lang w:val="es-CO" w:eastAsia="es-CO"/>
              </w:rPr>
              <w:br/>
              <w:t>* Se utilizan indicadores de efectividad para establecer si la institución encuentra retorno a la inversión bajo la premisa de mejora en el cumplimiento de los objetivos misionales.</w:t>
            </w:r>
          </w:p>
        </w:tc>
      </w:tr>
    </w:tbl>
    <w:p w14:paraId="5988B3E8" w14:textId="77777777" w:rsidR="000F099B" w:rsidRPr="00C37EF4" w:rsidRDefault="000F099B" w:rsidP="000F099B">
      <w:pPr>
        <w:pStyle w:val="Sinespaciado"/>
        <w:rPr>
          <w:rFonts w:ascii="Open Sans" w:hAnsi="Open Sans" w:cs="Open Sans"/>
          <w:color w:val="000000" w:themeColor="text1"/>
        </w:rPr>
      </w:pPr>
    </w:p>
    <w:p w14:paraId="6C6AA1BF" w14:textId="77777777" w:rsidR="000F099B" w:rsidRDefault="000F099B" w:rsidP="000F099B">
      <w:pPr>
        <w:pStyle w:val="Descripcin"/>
        <w:jc w:val="center"/>
        <w:rPr>
          <w:rFonts w:cs="Open Sans"/>
          <w:b/>
          <w:color w:val="000000" w:themeColor="text1"/>
          <w:szCs w:val="24"/>
        </w:rPr>
      </w:pPr>
      <w:bookmarkStart w:id="33" w:name="_Toc483318566"/>
      <w:bookmarkStart w:id="34" w:name="_Toc494148277"/>
      <w:bookmarkStart w:id="35" w:name="_Toc528828149"/>
      <w:r w:rsidRPr="00C37EF4">
        <w:rPr>
          <w:rFonts w:cs="Open Sans"/>
          <w:color w:val="000000" w:themeColor="text1"/>
          <w:szCs w:val="24"/>
        </w:rPr>
        <w:t xml:space="preserve">Tabla </w:t>
      </w:r>
      <w:r w:rsidRPr="00C37EF4">
        <w:rPr>
          <w:rFonts w:cs="Open Sans"/>
          <w:b/>
          <w:color w:val="000000" w:themeColor="text1"/>
          <w:szCs w:val="24"/>
        </w:rPr>
        <w:fldChar w:fldCharType="begin"/>
      </w:r>
      <w:r w:rsidRPr="00C37EF4">
        <w:rPr>
          <w:rFonts w:cs="Open Sans"/>
          <w:color w:val="000000" w:themeColor="text1"/>
          <w:szCs w:val="24"/>
        </w:rPr>
        <w:instrText xml:space="preserve"> SEQ Tabla \* ARABIC </w:instrText>
      </w:r>
      <w:r w:rsidRPr="00C37EF4">
        <w:rPr>
          <w:rFonts w:cs="Open Sans"/>
          <w:b/>
          <w:color w:val="000000" w:themeColor="text1"/>
          <w:szCs w:val="24"/>
        </w:rPr>
        <w:fldChar w:fldCharType="separate"/>
      </w:r>
      <w:r w:rsidR="0098415C">
        <w:rPr>
          <w:rFonts w:cs="Open Sans"/>
          <w:noProof/>
          <w:color w:val="000000" w:themeColor="text1"/>
          <w:szCs w:val="24"/>
        </w:rPr>
        <w:t>5</w:t>
      </w:r>
      <w:r w:rsidRPr="00C37EF4">
        <w:rPr>
          <w:rFonts w:cs="Open Sans"/>
          <w:b/>
          <w:color w:val="000000" w:themeColor="text1"/>
          <w:szCs w:val="24"/>
        </w:rPr>
        <w:fldChar w:fldCharType="end"/>
      </w:r>
      <w:r w:rsidRPr="00C37EF4">
        <w:rPr>
          <w:rFonts w:cs="Open Sans"/>
          <w:color w:val="000000" w:themeColor="text1"/>
          <w:szCs w:val="24"/>
        </w:rPr>
        <w:t xml:space="preserve">. Escala de Valoración del </w:t>
      </w:r>
      <w:bookmarkEnd w:id="33"/>
      <w:r w:rsidRPr="00C37EF4">
        <w:rPr>
          <w:rFonts w:cs="Open Sans"/>
          <w:color w:val="000000" w:themeColor="text1"/>
          <w:szCs w:val="24"/>
        </w:rPr>
        <w:t xml:space="preserve">Nivel de Madurez del </w:t>
      </w:r>
      <w:bookmarkEnd w:id="34"/>
      <w:r>
        <w:rPr>
          <w:rFonts w:cs="Open Sans"/>
          <w:color w:val="000000" w:themeColor="text1"/>
          <w:szCs w:val="24"/>
        </w:rPr>
        <w:t>MPSI de MINTIC</w:t>
      </w:r>
      <w:bookmarkEnd w:id="35"/>
    </w:p>
    <w:p w14:paraId="51CC0DC1" w14:textId="77777777" w:rsidR="000F099B" w:rsidRPr="006812C9" w:rsidRDefault="000F099B" w:rsidP="00187127">
      <w:pPr>
        <w:pStyle w:val="Ttulo1"/>
        <w:keepNext/>
        <w:keepLines/>
        <w:widowControl/>
        <w:numPr>
          <w:ilvl w:val="0"/>
          <w:numId w:val="7"/>
        </w:numPr>
        <w:autoSpaceDE/>
        <w:autoSpaceDN/>
        <w:spacing w:before="320" w:after="40"/>
        <w:ind w:left="426"/>
        <w:jc w:val="both"/>
        <w:rPr>
          <w:rFonts w:ascii="Open Sans" w:hAnsi="Open Sans" w:cs="Open Sans"/>
          <w:lang w:val="es-CO"/>
        </w:rPr>
      </w:pPr>
      <w:bookmarkStart w:id="36" w:name="_Toc518815692"/>
      <w:bookmarkStart w:id="37" w:name="_Toc528775199"/>
      <w:r w:rsidRPr="006812C9">
        <w:rPr>
          <w:rFonts w:ascii="Open Sans" w:hAnsi="Open Sans" w:cs="Open Sans"/>
          <w:lang w:val="es-CO"/>
        </w:rPr>
        <w:t>RESULTADOS DEL ANÁLISIS DE BRECHAS</w:t>
      </w:r>
      <w:bookmarkEnd w:id="36"/>
      <w:bookmarkEnd w:id="37"/>
    </w:p>
    <w:p w14:paraId="1C387836" w14:textId="77777777" w:rsidR="000F099B" w:rsidRPr="006812C9" w:rsidRDefault="000F099B" w:rsidP="000F099B">
      <w:pPr>
        <w:rPr>
          <w:rFonts w:ascii="Open Sans" w:hAnsi="Open Sans" w:cs="Open Sans"/>
          <w:color w:val="000000" w:themeColor="text1"/>
          <w:lang w:val="es-CO"/>
        </w:rPr>
      </w:pPr>
    </w:p>
    <w:p w14:paraId="3D6873F4" w14:textId="77777777" w:rsidR="000F099B" w:rsidRPr="00C37EF4" w:rsidRDefault="000F099B" w:rsidP="000F099B">
      <w:pPr>
        <w:rPr>
          <w:rFonts w:ascii="Open Sans" w:hAnsi="Open Sans" w:cs="Open Sans"/>
          <w:color w:val="000000" w:themeColor="text1"/>
          <w:szCs w:val="24"/>
        </w:rPr>
      </w:pPr>
      <w:r w:rsidRPr="00C37EF4">
        <w:rPr>
          <w:rFonts w:ascii="Open Sans" w:hAnsi="Open Sans" w:cs="Open Sans"/>
          <w:color w:val="000000" w:themeColor="text1"/>
          <w:szCs w:val="24"/>
        </w:rPr>
        <w:t xml:space="preserve">El Análisis de brechas respecto </w:t>
      </w:r>
      <w:r>
        <w:rPr>
          <w:rFonts w:ascii="Open Sans" w:hAnsi="Open Sans" w:cs="Open Sans"/>
          <w:color w:val="000000" w:themeColor="text1"/>
          <w:szCs w:val="24"/>
        </w:rPr>
        <w:t>al estándar</w:t>
      </w:r>
      <w:r w:rsidRPr="00C37EF4">
        <w:rPr>
          <w:rFonts w:ascii="Open Sans" w:hAnsi="Open Sans" w:cs="Open Sans"/>
          <w:color w:val="000000" w:themeColor="text1"/>
          <w:szCs w:val="24"/>
        </w:rPr>
        <w:t xml:space="preserve"> ISO/IEC 27001:2013 en el </w:t>
      </w:r>
      <w:r>
        <w:rPr>
          <w:rFonts w:ascii="Open Sans" w:hAnsi="Open Sans" w:cs="Open Sans"/>
          <w:color w:val="000000" w:themeColor="text1"/>
        </w:rPr>
        <w:t>Instituto Nacional de Salud</w:t>
      </w:r>
      <w:r w:rsidRPr="00C37EF4">
        <w:rPr>
          <w:rFonts w:ascii="Open Sans" w:hAnsi="Open Sans" w:cs="Open Sans"/>
          <w:color w:val="000000" w:themeColor="text1"/>
          <w:szCs w:val="24"/>
        </w:rPr>
        <w:t>, se desarrolló teniendo en cuenta el análisis a la documentación entregada al equipo consultor, así como el levantamiento de información realizado con los responsables.</w:t>
      </w:r>
      <w:r>
        <w:rPr>
          <w:rFonts w:ascii="Open Sans" w:hAnsi="Open Sans" w:cs="Open Sans"/>
          <w:color w:val="000000" w:themeColor="text1"/>
          <w:szCs w:val="24"/>
        </w:rPr>
        <w:t xml:space="preserve"> </w:t>
      </w:r>
      <w:r w:rsidRPr="00C37EF4">
        <w:rPr>
          <w:rFonts w:ascii="Open Sans" w:hAnsi="Open Sans" w:cs="Open Sans"/>
          <w:color w:val="000000" w:themeColor="text1"/>
          <w:szCs w:val="24"/>
        </w:rPr>
        <w:t xml:space="preserve">Se identificó </w:t>
      </w:r>
      <w:r>
        <w:rPr>
          <w:rFonts w:ascii="Open Sans" w:hAnsi="Open Sans" w:cs="Open Sans"/>
          <w:color w:val="000000" w:themeColor="text1"/>
          <w:szCs w:val="24"/>
        </w:rPr>
        <w:t xml:space="preserve">en primer lugar </w:t>
      </w:r>
      <w:r w:rsidRPr="00C37EF4">
        <w:rPr>
          <w:rFonts w:ascii="Open Sans" w:hAnsi="Open Sans" w:cs="Open Sans"/>
          <w:color w:val="000000" w:themeColor="text1"/>
          <w:szCs w:val="24"/>
        </w:rPr>
        <w:t>el cum</w:t>
      </w:r>
      <w:r>
        <w:rPr>
          <w:rFonts w:ascii="Open Sans" w:hAnsi="Open Sans" w:cs="Open Sans"/>
          <w:color w:val="000000" w:themeColor="text1"/>
          <w:szCs w:val="24"/>
        </w:rPr>
        <w:t>plimiento con respecto a las clá</w:t>
      </w:r>
      <w:r w:rsidRPr="00C37EF4">
        <w:rPr>
          <w:rFonts w:ascii="Open Sans" w:hAnsi="Open Sans" w:cs="Open Sans"/>
          <w:color w:val="000000" w:themeColor="text1"/>
          <w:szCs w:val="24"/>
        </w:rPr>
        <w:t xml:space="preserve">usulas obligatorias </w:t>
      </w:r>
      <w:r>
        <w:rPr>
          <w:rFonts w:ascii="Open Sans" w:hAnsi="Open Sans" w:cs="Open Sans"/>
          <w:color w:val="000000" w:themeColor="text1"/>
          <w:szCs w:val="24"/>
        </w:rPr>
        <w:t>del estándar</w:t>
      </w:r>
      <w:r w:rsidRPr="00C37EF4">
        <w:rPr>
          <w:rFonts w:ascii="Open Sans" w:hAnsi="Open Sans" w:cs="Open Sans"/>
          <w:color w:val="000000" w:themeColor="text1"/>
          <w:szCs w:val="24"/>
        </w:rPr>
        <w:t xml:space="preserve"> y en segundo lugar el cumplimiento frente al Anexo A </w:t>
      </w:r>
      <w:r>
        <w:rPr>
          <w:rFonts w:ascii="Open Sans" w:hAnsi="Open Sans" w:cs="Open Sans"/>
          <w:color w:val="000000" w:themeColor="text1"/>
          <w:szCs w:val="24"/>
        </w:rPr>
        <w:t xml:space="preserve">de la </w:t>
      </w:r>
      <w:r w:rsidRPr="00C37EF4">
        <w:rPr>
          <w:rFonts w:ascii="Open Sans" w:hAnsi="Open Sans" w:cs="Open Sans"/>
          <w:color w:val="000000" w:themeColor="text1"/>
          <w:szCs w:val="24"/>
        </w:rPr>
        <w:t>ISO/IEC 27001:2013</w:t>
      </w:r>
      <w:r>
        <w:rPr>
          <w:rFonts w:ascii="Open Sans" w:hAnsi="Open Sans" w:cs="Open Sans"/>
          <w:color w:val="000000" w:themeColor="text1"/>
          <w:szCs w:val="24"/>
        </w:rPr>
        <w:t>.</w:t>
      </w:r>
    </w:p>
    <w:p w14:paraId="6B35244A" w14:textId="77777777" w:rsidR="000F099B" w:rsidRPr="00C37EF4" w:rsidRDefault="000F099B" w:rsidP="000F099B">
      <w:pPr>
        <w:pStyle w:val="Sinespaciado"/>
        <w:rPr>
          <w:rFonts w:ascii="Open Sans" w:hAnsi="Open Sans" w:cs="Open Sans"/>
          <w:color w:val="000000" w:themeColor="text1"/>
          <w:sz w:val="20"/>
        </w:rPr>
      </w:pPr>
    </w:p>
    <w:p w14:paraId="70BE241D" w14:textId="77777777" w:rsidR="000F099B" w:rsidRPr="00C37EF4" w:rsidRDefault="000F099B" w:rsidP="00187127">
      <w:pPr>
        <w:pStyle w:val="Ttulo2"/>
        <w:keepNext/>
        <w:keepLines/>
        <w:widowControl/>
        <w:numPr>
          <w:ilvl w:val="1"/>
          <w:numId w:val="8"/>
        </w:numPr>
        <w:autoSpaceDE/>
        <w:autoSpaceDN/>
        <w:spacing w:before="120"/>
        <w:jc w:val="both"/>
        <w:rPr>
          <w:rFonts w:ascii="Open Sans" w:hAnsi="Open Sans" w:cs="Open Sans"/>
          <w:color w:val="000000" w:themeColor="text1"/>
        </w:rPr>
      </w:pPr>
      <w:bookmarkStart w:id="38" w:name="_Toc518771193"/>
      <w:bookmarkStart w:id="39" w:name="_Toc518815693"/>
      <w:bookmarkStart w:id="40" w:name="_Toc528775200"/>
      <w:r w:rsidRPr="00C37EF4">
        <w:rPr>
          <w:rFonts w:ascii="Open Sans" w:hAnsi="Open Sans" w:cs="Open Sans"/>
          <w:color w:val="000000" w:themeColor="text1"/>
        </w:rPr>
        <w:t>NIVEL DE CUMPLIMIENTO DE CLAUSULAS (ISO/IEC 27001:2013)</w:t>
      </w:r>
      <w:bookmarkEnd w:id="38"/>
      <w:bookmarkEnd w:id="39"/>
      <w:bookmarkEnd w:id="40"/>
    </w:p>
    <w:p w14:paraId="497C68D7" w14:textId="77777777" w:rsidR="000F099B" w:rsidRPr="006812C9" w:rsidRDefault="000F099B" w:rsidP="000F099B">
      <w:pPr>
        <w:rPr>
          <w:rFonts w:ascii="Open Sans" w:hAnsi="Open Sans" w:cs="Open Sans"/>
          <w:color w:val="000000" w:themeColor="text1"/>
          <w:sz w:val="24"/>
          <w:szCs w:val="24"/>
        </w:rPr>
      </w:pPr>
    </w:p>
    <w:p w14:paraId="44CEE722" w14:textId="77777777" w:rsidR="000F099B" w:rsidRDefault="000F099B" w:rsidP="000F099B">
      <w:pPr>
        <w:rPr>
          <w:rFonts w:ascii="Open Sans" w:hAnsi="Open Sans" w:cs="Open Sans"/>
          <w:color w:val="000000" w:themeColor="text1"/>
        </w:rPr>
      </w:pPr>
      <w:r w:rsidRPr="00C37EF4">
        <w:rPr>
          <w:rFonts w:ascii="Open Sans" w:hAnsi="Open Sans" w:cs="Open Sans"/>
          <w:color w:val="000000" w:themeColor="text1"/>
        </w:rPr>
        <w:t>Los requisitos especificados en los numerales del 4 al 10 son de obligatorio cumplimiento para demostrar conformidad con la Norma ISO/IEC 27001:2013. A continuación, se listan dichas cláusulas.</w:t>
      </w:r>
    </w:p>
    <w:p w14:paraId="5085D3D3" w14:textId="77777777" w:rsidR="000F099B" w:rsidRPr="00F441CB" w:rsidRDefault="000F099B" w:rsidP="000F099B">
      <w:pPr>
        <w:pStyle w:val="Sinespaciado"/>
      </w:pPr>
    </w:p>
    <w:p w14:paraId="391C22A4" w14:textId="77777777" w:rsidR="000F099B" w:rsidRPr="00F441CB" w:rsidRDefault="000F099B" w:rsidP="00187127">
      <w:pPr>
        <w:pStyle w:val="Prrafodelista"/>
        <w:widowControl/>
        <w:numPr>
          <w:ilvl w:val="0"/>
          <w:numId w:val="10"/>
        </w:numPr>
        <w:autoSpaceDE/>
        <w:autoSpaceDN/>
        <w:contextualSpacing/>
        <w:jc w:val="both"/>
        <w:rPr>
          <w:rFonts w:ascii="Open Sans" w:hAnsi="Open Sans" w:cs="Open Sans"/>
          <w:color w:val="000000" w:themeColor="text1"/>
        </w:rPr>
      </w:pPr>
      <w:r w:rsidRPr="00F441CB">
        <w:rPr>
          <w:rFonts w:ascii="Open Sans" w:hAnsi="Open Sans" w:cs="Open Sans"/>
          <w:color w:val="000000" w:themeColor="text1"/>
        </w:rPr>
        <w:t>4. Contexto de la Organización</w:t>
      </w:r>
    </w:p>
    <w:p w14:paraId="0769B104" w14:textId="77777777" w:rsidR="000F099B" w:rsidRPr="00F441CB" w:rsidRDefault="000F099B" w:rsidP="00187127">
      <w:pPr>
        <w:pStyle w:val="Prrafodelista"/>
        <w:widowControl/>
        <w:numPr>
          <w:ilvl w:val="0"/>
          <w:numId w:val="10"/>
        </w:numPr>
        <w:autoSpaceDE/>
        <w:autoSpaceDN/>
        <w:contextualSpacing/>
        <w:jc w:val="both"/>
        <w:rPr>
          <w:rFonts w:ascii="Open Sans" w:hAnsi="Open Sans" w:cs="Open Sans"/>
          <w:color w:val="000000" w:themeColor="text1"/>
        </w:rPr>
      </w:pPr>
      <w:r w:rsidRPr="00F441CB">
        <w:rPr>
          <w:rFonts w:ascii="Open Sans" w:hAnsi="Open Sans" w:cs="Open Sans"/>
          <w:color w:val="000000" w:themeColor="text1"/>
        </w:rPr>
        <w:t>5. Liderazgo</w:t>
      </w:r>
    </w:p>
    <w:p w14:paraId="7CB8AC35" w14:textId="77777777" w:rsidR="000F099B" w:rsidRPr="00F441CB" w:rsidRDefault="000F099B" w:rsidP="00187127">
      <w:pPr>
        <w:pStyle w:val="Prrafodelista"/>
        <w:widowControl/>
        <w:numPr>
          <w:ilvl w:val="0"/>
          <w:numId w:val="10"/>
        </w:numPr>
        <w:autoSpaceDE/>
        <w:autoSpaceDN/>
        <w:contextualSpacing/>
        <w:jc w:val="both"/>
        <w:rPr>
          <w:rFonts w:ascii="Open Sans" w:hAnsi="Open Sans" w:cs="Open Sans"/>
          <w:color w:val="000000" w:themeColor="text1"/>
        </w:rPr>
      </w:pPr>
      <w:r w:rsidRPr="00F441CB">
        <w:rPr>
          <w:rFonts w:ascii="Open Sans" w:hAnsi="Open Sans" w:cs="Open Sans"/>
          <w:color w:val="000000" w:themeColor="text1"/>
        </w:rPr>
        <w:t>6. Planificación</w:t>
      </w:r>
    </w:p>
    <w:p w14:paraId="53B37194" w14:textId="77777777" w:rsidR="000F099B" w:rsidRPr="00F441CB" w:rsidRDefault="000F099B" w:rsidP="00187127">
      <w:pPr>
        <w:pStyle w:val="Prrafodelista"/>
        <w:widowControl/>
        <w:numPr>
          <w:ilvl w:val="0"/>
          <w:numId w:val="10"/>
        </w:numPr>
        <w:autoSpaceDE/>
        <w:autoSpaceDN/>
        <w:contextualSpacing/>
        <w:jc w:val="both"/>
        <w:rPr>
          <w:rFonts w:ascii="Open Sans" w:hAnsi="Open Sans" w:cs="Open Sans"/>
          <w:color w:val="000000" w:themeColor="text1"/>
        </w:rPr>
      </w:pPr>
      <w:r w:rsidRPr="00F441CB">
        <w:rPr>
          <w:rFonts w:ascii="Open Sans" w:hAnsi="Open Sans" w:cs="Open Sans"/>
          <w:color w:val="000000" w:themeColor="text1"/>
        </w:rPr>
        <w:t>7. Soporte</w:t>
      </w:r>
    </w:p>
    <w:p w14:paraId="26190C37" w14:textId="77777777" w:rsidR="000F099B" w:rsidRPr="00F441CB" w:rsidRDefault="000F099B" w:rsidP="00187127">
      <w:pPr>
        <w:pStyle w:val="Prrafodelista"/>
        <w:widowControl/>
        <w:numPr>
          <w:ilvl w:val="0"/>
          <w:numId w:val="10"/>
        </w:numPr>
        <w:autoSpaceDE/>
        <w:autoSpaceDN/>
        <w:contextualSpacing/>
        <w:jc w:val="both"/>
        <w:rPr>
          <w:rFonts w:ascii="Open Sans" w:hAnsi="Open Sans" w:cs="Open Sans"/>
          <w:color w:val="000000" w:themeColor="text1"/>
        </w:rPr>
      </w:pPr>
      <w:r w:rsidRPr="00F441CB">
        <w:rPr>
          <w:rFonts w:ascii="Open Sans" w:hAnsi="Open Sans" w:cs="Open Sans"/>
          <w:color w:val="000000" w:themeColor="text1"/>
        </w:rPr>
        <w:lastRenderedPageBreak/>
        <w:t>8. Operación</w:t>
      </w:r>
    </w:p>
    <w:p w14:paraId="29F65E77" w14:textId="77777777" w:rsidR="000F099B" w:rsidRPr="00F441CB" w:rsidRDefault="000F099B" w:rsidP="00187127">
      <w:pPr>
        <w:pStyle w:val="Prrafodelista"/>
        <w:widowControl/>
        <w:numPr>
          <w:ilvl w:val="0"/>
          <w:numId w:val="10"/>
        </w:numPr>
        <w:autoSpaceDE/>
        <w:autoSpaceDN/>
        <w:contextualSpacing/>
        <w:jc w:val="both"/>
        <w:rPr>
          <w:rFonts w:ascii="Open Sans" w:hAnsi="Open Sans" w:cs="Open Sans"/>
          <w:color w:val="000000" w:themeColor="text1"/>
        </w:rPr>
      </w:pPr>
      <w:r w:rsidRPr="00F441CB">
        <w:rPr>
          <w:rFonts w:ascii="Open Sans" w:hAnsi="Open Sans" w:cs="Open Sans"/>
          <w:color w:val="000000" w:themeColor="text1"/>
        </w:rPr>
        <w:t>9. Evaluación de desempeño</w:t>
      </w:r>
    </w:p>
    <w:p w14:paraId="6B92D5D1" w14:textId="77777777" w:rsidR="000F099B" w:rsidRPr="00F441CB" w:rsidRDefault="000F099B" w:rsidP="00187127">
      <w:pPr>
        <w:pStyle w:val="Prrafodelista"/>
        <w:widowControl/>
        <w:numPr>
          <w:ilvl w:val="0"/>
          <w:numId w:val="10"/>
        </w:numPr>
        <w:autoSpaceDE/>
        <w:autoSpaceDN/>
        <w:contextualSpacing/>
        <w:jc w:val="both"/>
        <w:rPr>
          <w:rFonts w:ascii="Open Sans" w:hAnsi="Open Sans" w:cs="Open Sans"/>
          <w:color w:val="000000" w:themeColor="text1"/>
        </w:rPr>
      </w:pPr>
      <w:r w:rsidRPr="00F441CB">
        <w:rPr>
          <w:rFonts w:ascii="Open Sans" w:hAnsi="Open Sans" w:cs="Open Sans"/>
          <w:color w:val="000000" w:themeColor="text1"/>
        </w:rPr>
        <w:t>10. Mejora</w:t>
      </w:r>
    </w:p>
    <w:p w14:paraId="7B21A3EA" w14:textId="77777777" w:rsidR="000F099B" w:rsidRPr="00D9359B" w:rsidRDefault="002777E6" w:rsidP="002777E6">
      <w:pPr>
        <w:spacing w:after="160" w:line="252" w:lineRule="auto"/>
        <w:rPr>
          <w:rFonts w:ascii="Open Sans" w:hAnsi="Open Sans" w:cs="Open Sans"/>
          <w:color w:val="000000" w:themeColor="text1"/>
        </w:rPr>
      </w:pPr>
      <w:bookmarkStart w:id="41" w:name="_Toc518815694"/>
      <w:bookmarkStart w:id="42" w:name="_Toc528775201"/>
      <w:r>
        <w:t>RE</w:t>
      </w:r>
      <w:r w:rsidR="000F099B" w:rsidRPr="00D9359B">
        <w:rPr>
          <w:rFonts w:ascii="Open Sans" w:hAnsi="Open Sans" w:cs="Open Sans"/>
          <w:color w:val="000000" w:themeColor="text1"/>
        </w:rPr>
        <w:t>SUMEN CUMPLIMIENTO (CLAUSULAS)</w:t>
      </w:r>
      <w:bookmarkEnd w:id="41"/>
      <w:bookmarkEnd w:id="42"/>
    </w:p>
    <w:p w14:paraId="549A44EA" w14:textId="77777777" w:rsidR="000F099B" w:rsidRPr="006812C9" w:rsidRDefault="000F099B" w:rsidP="000F099B">
      <w:pPr>
        <w:rPr>
          <w:rFonts w:ascii="Open Sans" w:hAnsi="Open Sans" w:cs="Open Sans"/>
          <w:color w:val="000000" w:themeColor="text1"/>
          <w:sz w:val="24"/>
          <w:szCs w:val="24"/>
        </w:rPr>
      </w:pPr>
    </w:p>
    <w:p w14:paraId="3D52970E" w14:textId="77777777" w:rsidR="000F099B" w:rsidRPr="00C37EF4" w:rsidRDefault="000F099B" w:rsidP="000F099B">
      <w:pPr>
        <w:rPr>
          <w:rFonts w:ascii="Open Sans" w:hAnsi="Open Sans" w:cs="Open Sans"/>
          <w:color w:val="000000" w:themeColor="text1"/>
          <w:szCs w:val="24"/>
        </w:rPr>
      </w:pPr>
      <w:r w:rsidRPr="00C37EF4">
        <w:rPr>
          <w:rFonts w:ascii="Open Sans" w:hAnsi="Open Sans" w:cs="Open Sans"/>
          <w:color w:val="000000" w:themeColor="text1"/>
          <w:szCs w:val="24"/>
        </w:rPr>
        <w:t xml:space="preserve">A continuación, se presenta un resumen del cumplimiento de las cláusulas obligatorias </w:t>
      </w:r>
      <w:r>
        <w:rPr>
          <w:rFonts w:ascii="Open Sans" w:hAnsi="Open Sans" w:cs="Open Sans"/>
          <w:color w:val="000000" w:themeColor="text1"/>
          <w:szCs w:val="24"/>
        </w:rPr>
        <w:t>del estándar</w:t>
      </w:r>
      <w:r w:rsidRPr="00C37EF4">
        <w:rPr>
          <w:rFonts w:ascii="Open Sans" w:hAnsi="Open Sans" w:cs="Open Sans"/>
          <w:color w:val="000000" w:themeColor="text1"/>
          <w:szCs w:val="24"/>
        </w:rPr>
        <w:t xml:space="preserve"> ISO/IEC 27001:2013</w:t>
      </w:r>
      <w:r>
        <w:rPr>
          <w:rFonts w:ascii="Open Sans" w:hAnsi="Open Sans" w:cs="Open Sans"/>
          <w:color w:val="000000" w:themeColor="text1"/>
          <w:szCs w:val="24"/>
        </w:rPr>
        <w:t>:</w:t>
      </w:r>
    </w:p>
    <w:p w14:paraId="2479C9F5" w14:textId="77777777" w:rsidR="000F099B" w:rsidRDefault="000F099B" w:rsidP="000F099B">
      <w:pPr>
        <w:pStyle w:val="Sinespaciado"/>
        <w:jc w:val="center"/>
        <w:rPr>
          <w:rFonts w:ascii="Open Sans" w:hAnsi="Open Sans" w:cs="Open Sans"/>
          <w:color w:val="000000" w:themeColor="text1"/>
        </w:rPr>
      </w:pPr>
    </w:p>
    <w:p w14:paraId="6F45759F" w14:textId="77777777" w:rsidR="000F099B" w:rsidRPr="006812C9" w:rsidRDefault="000F099B" w:rsidP="000F099B">
      <w:pPr>
        <w:pStyle w:val="Sinespaciado"/>
        <w:jc w:val="center"/>
        <w:rPr>
          <w:rFonts w:ascii="Open Sans" w:hAnsi="Open Sans" w:cs="Open Sans"/>
          <w:color w:val="000000" w:themeColor="text1"/>
        </w:rPr>
      </w:pPr>
      <w:r>
        <w:rPr>
          <w:noProof/>
        </w:rPr>
        <w:drawing>
          <wp:inline distT="0" distB="0" distL="0" distR="0" wp14:anchorId="162574C2" wp14:editId="35FCF438">
            <wp:extent cx="4572000" cy="2562225"/>
            <wp:effectExtent l="0" t="0" r="0" b="9525"/>
            <wp:docPr id="8" name="Gráfico 8">
              <a:extLst xmlns:a="http://schemas.openxmlformats.org/drawingml/2006/main">
                <a:ext uri="{FF2B5EF4-FFF2-40B4-BE49-F238E27FC236}">
                  <a16:creationId xmlns:a16="http://schemas.microsoft.com/office/drawing/2014/main" id="{C3EAB4CD-F6EA-490E-BB71-6C6BFCF5FF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BE48C0" w14:textId="77777777" w:rsidR="000F099B" w:rsidRDefault="000F099B" w:rsidP="000F099B">
      <w:pPr>
        <w:pStyle w:val="Descripcin"/>
        <w:jc w:val="center"/>
        <w:rPr>
          <w:rFonts w:cs="Open Sans"/>
          <w:b/>
          <w:color w:val="000000" w:themeColor="text1"/>
          <w:szCs w:val="24"/>
        </w:rPr>
      </w:pPr>
      <w:bookmarkStart w:id="43" w:name="_Toc494148283"/>
      <w:bookmarkStart w:id="44" w:name="_Toc528828153"/>
      <w:r w:rsidRPr="00C37EF4">
        <w:rPr>
          <w:rFonts w:cs="Open Sans"/>
          <w:color w:val="000000" w:themeColor="text1"/>
          <w:szCs w:val="24"/>
        </w:rPr>
        <w:t xml:space="preserve">Ilustración </w:t>
      </w:r>
      <w:r w:rsidRPr="00C37EF4">
        <w:rPr>
          <w:rFonts w:cs="Open Sans"/>
          <w:b/>
          <w:color w:val="000000" w:themeColor="text1"/>
          <w:szCs w:val="24"/>
        </w:rPr>
        <w:fldChar w:fldCharType="begin"/>
      </w:r>
      <w:r w:rsidRPr="00C37EF4">
        <w:rPr>
          <w:rFonts w:cs="Open Sans"/>
          <w:color w:val="000000" w:themeColor="text1"/>
          <w:szCs w:val="24"/>
        </w:rPr>
        <w:instrText xml:space="preserve"> SEQ Ilustración \* ARABIC </w:instrText>
      </w:r>
      <w:r w:rsidRPr="00C37EF4">
        <w:rPr>
          <w:rFonts w:cs="Open Sans"/>
          <w:b/>
          <w:color w:val="000000" w:themeColor="text1"/>
          <w:szCs w:val="24"/>
        </w:rPr>
        <w:fldChar w:fldCharType="separate"/>
      </w:r>
      <w:r w:rsidR="0098415C">
        <w:rPr>
          <w:rFonts w:cs="Open Sans"/>
          <w:noProof/>
          <w:color w:val="000000" w:themeColor="text1"/>
          <w:szCs w:val="24"/>
        </w:rPr>
        <w:t>2</w:t>
      </w:r>
      <w:r w:rsidRPr="00C37EF4">
        <w:rPr>
          <w:rFonts w:cs="Open Sans"/>
          <w:b/>
          <w:color w:val="000000" w:themeColor="text1"/>
          <w:szCs w:val="24"/>
        </w:rPr>
        <w:fldChar w:fldCharType="end"/>
      </w:r>
      <w:r w:rsidRPr="00C37EF4">
        <w:rPr>
          <w:rFonts w:cs="Open Sans"/>
          <w:color w:val="000000" w:themeColor="text1"/>
          <w:szCs w:val="24"/>
        </w:rPr>
        <w:t xml:space="preserve">. </w:t>
      </w:r>
      <w:r>
        <w:rPr>
          <w:rFonts w:cs="Open Sans"/>
          <w:color w:val="000000" w:themeColor="text1"/>
          <w:szCs w:val="24"/>
        </w:rPr>
        <w:t xml:space="preserve">Resumen </w:t>
      </w:r>
      <w:r w:rsidRPr="00C37EF4">
        <w:rPr>
          <w:rFonts w:cs="Open Sans"/>
          <w:color w:val="000000" w:themeColor="text1"/>
          <w:szCs w:val="24"/>
        </w:rPr>
        <w:t xml:space="preserve">de cumplimiento </w:t>
      </w:r>
      <w:r>
        <w:rPr>
          <w:rFonts w:cs="Open Sans"/>
          <w:color w:val="000000" w:themeColor="text1"/>
          <w:szCs w:val="24"/>
        </w:rPr>
        <w:t xml:space="preserve">de cláusulas </w:t>
      </w:r>
      <w:r w:rsidRPr="00C37EF4">
        <w:rPr>
          <w:rFonts w:cs="Open Sans"/>
          <w:color w:val="000000" w:themeColor="text1"/>
          <w:szCs w:val="24"/>
        </w:rPr>
        <w:t>ISO 27001:2013</w:t>
      </w:r>
      <w:bookmarkEnd w:id="43"/>
      <w:bookmarkEnd w:id="44"/>
    </w:p>
    <w:p w14:paraId="5CF9CE7B" w14:textId="77777777" w:rsidR="000F099B" w:rsidRPr="00586406" w:rsidRDefault="000F099B" w:rsidP="000F099B"/>
    <w:p w14:paraId="767331A0" w14:textId="77777777" w:rsidR="000F099B" w:rsidRDefault="004D22CB" w:rsidP="000F099B">
      <w:pPr>
        <w:rPr>
          <w:rFonts w:ascii="Open Sans" w:hAnsi="Open Sans" w:cs="Open Sans"/>
          <w:color w:val="000000" w:themeColor="text1"/>
          <w:szCs w:val="24"/>
        </w:rPr>
      </w:pPr>
      <w:r>
        <w:rPr>
          <w:noProof/>
        </w:rPr>
        <w:drawing>
          <wp:anchor distT="0" distB="0" distL="114300" distR="114300" simplePos="0" relativeHeight="251659264" behindDoc="0" locked="0" layoutInCell="1" allowOverlap="1" wp14:anchorId="4431D598" wp14:editId="46DC0C79">
            <wp:simplePos x="0" y="0"/>
            <wp:positionH relativeFrom="column">
              <wp:posOffset>718185</wp:posOffset>
            </wp:positionH>
            <wp:positionV relativeFrom="paragraph">
              <wp:posOffset>374650</wp:posOffset>
            </wp:positionV>
            <wp:extent cx="4572000" cy="2924175"/>
            <wp:effectExtent l="0" t="0" r="0" b="9525"/>
            <wp:wrapTopAndBottom/>
            <wp:docPr id="9" name="Gráfico 9">
              <a:extLst xmlns:a="http://schemas.openxmlformats.org/drawingml/2006/main">
                <a:ext uri="{FF2B5EF4-FFF2-40B4-BE49-F238E27FC236}">
                  <a16:creationId xmlns:a16="http://schemas.microsoft.com/office/drawing/2014/main" id="{42E6A6EE-338C-4D98-81C8-6792C6D959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0F099B">
        <w:rPr>
          <w:rFonts w:ascii="Open Sans" w:hAnsi="Open Sans" w:cs="Open Sans"/>
          <w:color w:val="000000" w:themeColor="text1"/>
          <w:szCs w:val="24"/>
        </w:rPr>
        <w:t>El cumplimiento de cada clausula por parte</w:t>
      </w:r>
      <w:r w:rsidR="000F099B" w:rsidRPr="00C37EF4">
        <w:rPr>
          <w:rFonts w:ascii="Open Sans" w:hAnsi="Open Sans" w:cs="Open Sans"/>
          <w:color w:val="000000" w:themeColor="text1"/>
          <w:szCs w:val="24"/>
        </w:rPr>
        <w:t xml:space="preserve"> </w:t>
      </w:r>
      <w:r w:rsidR="000F099B" w:rsidRPr="00C37EF4">
        <w:rPr>
          <w:rFonts w:ascii="Open Sans" w:hAnsi="Open Sans" w:cs="Open Sans"/>
          <w:color w:val="000000" w:themeColor="text1"/>
        </w:rPr>
        <w:t xml:space="preserve">del </w:t>
      </w:r>
      <w:r w:rsidR="000F099B">
        <w:rPr>
          <w:rFonts w:ascii="Open Sans" w:hAnsi="Open Sans" w:cs="Open Sans"/>
          <w:color w:val="000000" w:themeColor="text1"/>
        </w:rPr>
        <w:t>Instituto Nacional de Salud</w:t>
      </w:r>
      <w:r w:rsidR="000F099B" w:rsidRPr="00C37EF4">
        <w:rPr>
          <w:rFonts w:ascii="Open Sans" w:hAnsi="Open Sans" w:cs="Open Sans"/>
          <w:color w:val="000000" w:themeColor="text1"/>
          <w:szCs w:val="24"/>
        </w:rPr>
        <w:t xml:space="preserve"> </w:t>
      </w:r>
      <w:r w:rsidR="000F099B">
        <w:rPr>
          <w:rFonts w:ascii="Open Sans" w:hAnsi="Open Sans" w:cs="Open Sans"/>
          <w:color w:val="000000" w:themeColor="text1"/>
          <w:szCs w:val="24"/>
        </w:rPr>
        <w:t>se presenta en la Ilustración 3.</w:t>
      </w:r>
      <w:r w:rsidRPr="004D22CB">
        <w:rPr>
          <w:noProof/>
        </w:rPr>
        <w:t xml:space="preserve"> </w:t>
      </w:r>
    </w:p>
    <w:p w14:paraId="3C43CB60" w14:textId="77777777" w:rsidR="000F099B" w:rsidRDefault="000F099B" w:rsidP="000F099B">
      <w:pPr>
        <w:pStyle w:val="Descripcin"/>
        <w:jc w:val="center"/>
        <w:rPr>
          <w:rFonts w:cs="Open Sans"/>
          <w:b/>
          <w:color w:val="000000" w:themeColor="text1"/>
          <w:szCs w:val="24"/>
        </w:rPr>
      </w:pPr>
      <w:bookmarkStart w:id="45" w:name="_Toc483318572"/>
      <w:bookmarkStart w:id="46" w:name="_Toc494148284"/>
      <w:bookmarkStart w:id="47" w:name="_Toc528828154"/>
      <w:r w:rsidRPr="00C37EF4">
        <w:rPr>
          <w:rFonts w:cs="Open Sans"/>
          <w:color w:val="000000" w:themeColor="text1"/>
          <w:szCs w:val="24"/>
        </w:rPr>
        <w:t xml:space="preserve">Ilustración </w:t>
      </w:r>
      <w:r w:rsidRPr="00C37EF4">
        <w:rPr>
          <w:rFonts w:cs="Open Sans"/>
          <w:b/>
          <w:color w:val="000000" w:themeColor="text1"/>
          <w:szCs w:val="24"/>
        </w:rPr>
        <w:fldChar w:fldCharType="begin"/>
      </w:r>
      <w:r w:rsidRPr="00C37EF4">
        <w:rPr>
          <w:rFonts w:cs="Open Sans"/>
          <w:color w:val="000000" w:themeColor="text1"/>
          <w:szCs w:val="24"/>
        </w:rPr>
        <w:instrText xml:space="preserve"> SEQ Ilustración \* ARABIC </w:instrText>
      </w:r>
      <w:r w:rsidRPr="00C37EF4">
        <w:rPr>
          <w:rFonts w:cs="Open Sans"/>
          <w:b/>
          <w:color w:val="000000" w:themeColor="text1"/>
          <w:szCs w:val="24"/>
        </w:rPr>
        <w:fldChar w:fldCharType="separate"/>
      </w:r>
      <w:r w:rsidR="0098415C">
        <w:rPr>
          <w:rFonts w:cs="Open Sans"/>
          <w:noProof/>
          <w:color w:val="000000" w:themeColor="text1"/>
          <w:szCs w:val="24"/>
        </w:rPr>
        <w:t>3</w:t>
      </w:r>
      <w:r w:rsidRPr="00C37EF4">
        <w:rPr>
          <w:rFonts w:cs="Open Sans"/>
          <w:b/>
          <w:color w:val="000000" w:themeColor="text1"/>
          <w:szCs w:val="24"/>
        </w:rPr>
        <w:fldChar w:fldCharType="end"/>
      </w:r>
      <w:r w:rsidRPr="00C37EF4">
        <w:rPr>
          <w:rFonts w:cs="Open Sans"/>
          <w:color w:val="000000" w:themeColor="text1"/>
          <w:szCs w:val="24"/>
        </w:rPr>
        <w:t xml:space="preserve">. </w:t>
      </w:r>
      <w:r>
        <w:rPr>
          <w:rFonts w:cs="Open Sans"/>
          <w:color w:val="000000" w:themeColor="text1"/>
          <w:szCs w:val="24"/>
        </w:rPr>
        <w:t>C</w:t>
      </w:r>
      <w:r w:rsidRPr="00C37EF4">
        <w:rPr>
          <w:rFonts w:cs="Open Sans"/>
          <w:color w:val="000000" w:themeColor="text1"/>
          <w:szCs w:val="24"/>
        </w:rPr>
        <w:t xml:space="preserve">umplimiento </w:t>
      </w:r>
      <w:r>
        <w:rPr>
          <w:rFonts w:cs="Open Sans"/>
          <w:color w:val="000000" w:themeColor="text1"/>
          <w:szCs w:val="24"/>
        </w:rPr>
        <w:t xml:space="preserve">de cláusulas mandatarias </w:t>
      </w:r>
      <w:r w:rsidRPr="00C37EF4">
        <w:rPr>
          <w:rFonts w:cs="Open Sans"/>
          <w:color w:val="000000" w:themeColor="text1"/>
          <w:szCs w:val="24"/>
        </w:rPr>
        <w:t xml:space="preserve">ISO </w:t>
      </w:r>
      <w:bookmarkEnd w:id="45"/>
      <w:r w:rsidRPr="00C37EF4">
        <w:rPr>
          <w:rFonts w:cs="Open Sans"/>
          <w:color w:val="000000" w:themeColor="text1"/>
          <w:szCs w:val="24"/>
        </w:rPr>
        <w:t>27001:2013</w:t>
      </w:r>
      <w:bookmarkEnd w:id="46"/>
      <w:bookmarkEnd w:id="47"/>
    </w:p>
    <w:p w14:paraId="0FDDEC48" w14:textId="77777777" w:rsidR="000F099B" w:rsidRPr="00C2033C" w:rsidRDefault="000F099B" w:rsidP="000F099B"/>
    <w:p w14:paraId="4FBE47CB" w14:textId="77777777" w:rsidR="000F099B" w:rsidRPr="00C2033C" w:rsidRDefault="000F099B" w:rsidP="000F099B">
      <w:pPr>
        <w:pStyle w:val="Sinespaciado"/>
        <w:rPr>
          <w:rFonts w:ascii="Open Sans" w:hAnsi="Open Sans" w:cs="Open Sans"/>
          <w:b/>
          <w:color w:val="000000" w:themeColor="text1"/>
          <w:szCs w:val="24"/>
        </w:rPr>
      </w:pPr>
      <w:r w:rsidRPr="00C2033C">
        <w:rPr>
          <w:rFonts w:ascii="Open Sans" w:hAnsi="Open Sans" w:cs="Open Sans"/>
          <w:b/>
          <w:color w:val="000000" w:themeColor="text1"/>
          <w:szCs w:val="24"/>
        </w:rPr>
        <w:t>Nota:</w:t>
      </w:r>
    </w:p>
    <w:p w14:paraId="51D51514" w14:textId="77777777" w:rsidR="000F099B" w:rsidRDefault="000F099B" w:rsidP="000F099B">
      <w:pPr>
        <w:pStyle w:val="Sinespaciado"/>
      </w:pPr>
      <w:r>
        <w:rPr>
          <w:rFonts w:ascii="Open Sans" w:hAnsi="Open Sans" w:cs="Open Sans"/>
          <w:color w:val="000000" w:themeColor="text1"/>
          <w:szCs w:val="24"/>
        </w:rPr>
        <w:lastRenderedPageBreak/>
        <w:t>E</w:t>
      </w:r>
      <w:r w:rsidRPr="00C37EF4">
        <w:rPr>
          <w:rFonts w:ascii="Open Sans" w:hAnsi="Open Sans" w:cs="Open Sans"/>
          <w:color w:val="000000" w:themeColor="text1"/>
          <w:szCs w:val="24"/>
        </w:rPr>
        <w:t xml:space="preserve">l detalle del análisis realizado se encuentra en el </w:t>
      </w:r>
      <w:r w:rsidRPr="00C37EF4">
        <w:rPr>
          <w:rFonts w:ascii="Open Sans" w:hAnsi="Open Sans" w:cs="Open Sans"/>
          <w:b/>
          <w:color w:val="000000" w:themeColor="text1"/>
          <w:szCs w:val="24"/>
        </w:rPr>
        <w:t xml:space="preserve">Anexo 1. Análisis </w:t>
      </w:r>
      <w:r>
        <w:rPr>
          <w:rFonts w:ascii="Open Sans" w:hAnsi="Open Sans" w:cs="Open Sans"/>
          <w:b/>
          <w:color w:val="000000" w:themeColor="text1"/>
          <w:szCs w:val="24"/>
        </w:rPr>
        <w:t xml:space="preserve">GAP a clausulas </w:t>
      </w:r>
      <w:r w:rsidR="004D22CB">
        <w:rPr>
          <w:rFonts w:ascii="Open Sans" w:hAnsi="Open Sans" w:cs="Open Sans"/>
          <w:b/>
          <w:color w:val="000000" w:themeColor="text1"/>
          <w:szCs w:val="24"/>
        </w:rPr>
        <w:t>mandatarias</w:t>
      </w:r>
      <w:r>
        <w:rPr>
          <w:rFonts w:ascii="Open Sans" w:hAnsi="Open Sans" w:cs="Open Sans"/>
          <w:b/>
          <w:color w:val="000000" w:themeColor="text1"/>
          <w:szCs w:val="24"/>
        </w:rPr>
        <w:t xml:space="preserve"> de</w:t>
      </w:r>
      <w:r w:rsidRPr="00C37EF4">
        <w:rPr>
          <w:rFonts w:ascii="Open Sans" w:hAnsi="Open Sans" w:cs="Open Sans"/>
          <w:b/>
          <w:color w:val="000000" w:themeColor="text1"/>
          <w:szCs w:val="24"/>
        </w:rPr>
        <w:t xml:space="preserve"> ISO/IEC 27001:2013</w:t>
      </w:r>
      <w:r w:rsidRPr="00C37EF4">
        <w:rPr>
          <w:rFonts w:ascii="Open Sans" w:hAnsi="Open Sans" w:cs="Open Sans"/>
          <w:color w:val="000000" w:themeColor="text1"/>
          <w:szCs w:val="24"/>
        </w:rPr>
        <w:t xml:space="preserve"> de este documento.</w:t>
      </w:r>
    </w:p>
    <w:p w14:paraId="76969467" w14:textId="77777777" w:rsidR="000F099B" w:rsidRPr="00C562C4" w:rsidRDefault="000F099B" w:rsidP="000F099B">
      <w:pPr>
        <w:pStyle w:val="Sinespaciado"/>
      </w:pPr>
    </w:p>
    <w:p w14:paraId="09C82217" w14:textId="77777777" w:rsidR="000F099B" w:rsidRDefault="000F099B" w:rsidP="00187127">
      <w:pPr>
        <w:pStyle w:val="Ttulo2"/>
        <w:keepNext/>
        <w:keepLines/>
        <w:widowControl/>
        <w:numPr>
          <w:ilvl w:val="1"/>
          <w:numId w:val="8"/>
        </w:numPr>
        <w:autoSpaceDE/>
        <w:autoSpaceDN/>
        <w:spacing w:before="120"/>
        <w:jc w:val="both"/>
        <w:rPr>
          <w:rFonts w:ascii="Open Sans" w:hAnsi="Open Sans" w:cs="Open Sans"/>
          <w:color w:val="000000" w:themeColor="text1"/>
        </w:rPr>
      </w:pPr>
      <w:bookmarkStart w:id="48" w:name="_Toc518815695"/>
      <w:bookmarkStart w:id="49" w:name="_Toc528775202"/>
      <w:r w:rsidRPr="00C37EF4">
        <w:rPr>
          <w:rFonts w:ascii="Open Sans" w:hAnsi="Open Sans" w:cs="Open Sans"/>
          <w:color w:val="000000" w:themeColor="text1"/>
        </w:rPr>
        <w:t>ANÁLISIS DE MADUREZ DEL SGSI</w:t>
      </w:r>
      <w:bookmarkEnd w:id="48"/>
      <w:bookmarkEnd w:id="49"/>
      <w:r w:rsidR="004D22CB">
        <w:rPr>
          <w:rFonts w:ascii="Open Sans" w:hAnsi="Open Sans" w:cs="Open Sans"/>
          <w:color w:val="000000" w:themeColor="text1"/>
        </w:rPr>
        <w:t xml:space="preserve"> 2018</w:t>
      </w:r>
    </w:p>
    <w:p w14:paraId="5DD08AC5" w14:textId="77777777" w:rsidR="000F099B" w:rsidRPr="00047F99" w:rsidRDefault="000F099B" w:rsidP="000F099B"/>
    <w:p w14:paraId="24688D2C" w14:textId="77777777" w:rsidR="000F099B" w:rsidRPr="00C37EF4" w:rsidRDefault="000F099B" w:rsidP="000F099B">
      <w:pPr>
        <w:rPr>
          <w:rFonts w:ascii="Open Sans" w:hAnsi="Open Sans" w:cs="Open Sans"/>
          <w:color w:val="000000" w:themeColor="text1"/>
          <w:szCs w:val="24"/>
        </w:rPr>
      </w:pPr>
      <w:r w:rsidRPr="00C37EF4">
        <w:rPr>
          <w:rFonts w:ascii="Open Sans" w:hAnsi="Open Sans" w:cs="Open Sans"/>
          <w:color w:val="000000" w:themeColor="text1"/>
          <w:szCs w:val="24"/>
        </w:rPr>
        <w:t xml:space="preserve">A continuación, se presenta el nivel de madurez identificado para cada una de las cláusulas obligatorias </w:t>
      </w:r>
      <w:r>
        <w:rPr>
          <w:rFonts w:ascii="Open Sans" w:hAnsi="Open Sans" w:cs="Open Sans"/>
          <w:color w:val="000000" w:themeColor="text1"/>
          <w:szCs w:val="24"/>
        </w:rPr>
        <w:t>del estándar</w:t>
      </w:r>
      <w:r w:rsidRPr="00C37EF4">
        <w:rPr>
          <w:rFonts w:ascii="Open Sans" w:hAnsi="Open Sans" w:cs="Open Sans"/>
          <w:color w:val="000000" w:themeColor="text1"/>
          <w:szCs w:val="24"/>
        </w:rPr>
        <w:t xml:space="preserve"> ISO/IEC 27001:2013, frente al nivel de Madurez esp</w:t>
      </w:r>
      <w:r>
        <w:rPr>
          <w:rFonts w:ascii="Open Sans" w:hAnsi="Open Sans" w:cs="Open Sans"/>
          <w:color w:val="000000" w:themeColor="text1"/>
          <w:szCs w:val="24"/>
        </w:rPr>
        <w:t>erado para el año 2018</w:t>
      </w:r>
      <w:r w:rsidRPr="00C37EF4">
        <w:rPr>
          <w:rFonts w:ascii="Open Sans" w:hAnsi="Open Sans" w:cs="Open Sans"/>
          <w:color w:val="000000" w:themeColor="text1"/>
          <w:szCs w:val="24"/>
        </w:rPr>
        <w:t xml:space="preserve"> </w:t>
      </w:r>
      <w:r>
        <w:rPr>
          <w:rFonts w:ascii="Open Sans" w:hAnsi="Open Sans" w:cs="Open Sans"/>
          <w:color w:val="000000" w:themeColor="text1"/>
          <w:szCs w:val="24"/>
        </w:rPr>
        <w:t>de</w:t>
      </w:r>
      <w:r w:rsidRPr="00C37EF4">
        <w:rPr>
          <w:rFonts w:ascii="Open Sans" w:hAnsi="Open Sans" w:cs="Open Sans"/>
          <w:color w:val="000000" w:themeColor="text1"/>
          <w:szCs w:val="24"/>
        </w:rPr>
        <w:t xml:space="preserve"> la entidad.</w:t>
      </w:r>
    </w:p>
    <w:tbl>
      <w:tblPr>
        <w:tblW w:w="6800" w:type="dxa"/>
        <w:jc w:val="center"/>
        <w:tblCellMar>
          <w:left w:w="70" w:type="dxa"/>
          <w:right w:w="70" w:type="dxa"/>
        </w:tblCellMar>
        <w:tblLook w:val="04A0" w:firstRow="1" w:lastRow="0" w:firstColumn="1" w:lastColumn="0" w:noHBand="0" w:noVBand="1"/>
      </w:tblPr>
      <w:tblGrid>
        <w:gridCol w:w="3080"/>
        <w:gridCol w:w="1740"/>
        <w:gridCol w:w="1980"/>
      </w:tblGrid>
      <w:tr w:rsidR="000F099B" w:rsidRPr="00D9359B" w14:paraId="3FD63277" w14:textId="77777777" w:rsidTr="000F099B">
        <w:trPr>
          <w:trHeight w:val="300"/>
          <w:jc w:val="center"/>
        </w:trPr>
        <w:tc>
          <w:tcPr>
            <w:tcW w:w="3080" w:type="dxa"/>
            <w:tcBorders>
              <w:top w:val="nil"/>
              <w:left w:val="nil"/>
              <w:bottom w:val="nil"/>
              <w:right w:val="nil"/>
            </w:tcBorders>
            <w:shd w:val="clear" w:color="auto" w:fill="auto"/>
            <w:vAlign w:val="center"/>
            <w:hideMark/>
          </w:tcPr>
          <w:p w14:paraId="59FC9026" w14:textId="77777777" w:rsidR="000F099B" w:rsidRPr="00D9359B" w:rsidRDefault="000F099B" w:rsidP="000F099B">
            <w:pPr>
              <w:rPr>
                <w:rFonts w:ascii="Times New Roman" w:eastAsia="Times New Roman" w:hAnsi="Times New Roman" w:cs="Times New Roman"/>
                <w:sz w:val="24"/>
                <w:szCs w:val="24"/>
                <w:lang w:val="es-CO" w:eastAsia="es-CO"/>
              </w:rPr>
            </w:pPr>
          </w:p>
        </w:tc>
        <w:tc>
          <w:tcPr>
            <w:tcW w:w="372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4932E05D" w14:textId="77777777" w:rsidR="000F099B" w:rsidRPr="00D9359B" w:rsidRDefault="000F099B" w:rsidP="000F099B">
            <w:pPr>
              <w:jc w:val="center"/>
              <w:rPr>
                <w:rFonts w:ascii="Calibri" w:eastAsia="Times New Roman" w:hAnsi="Calibri" w:cs="Calibri"/>
                <w:b/>
                <w:bCs/>
                <w:color w:val="000000"/>
                <w:lang w:val="es-CO" w:eastAsia="es-CO"/>
              </w:rPr>
            </w:pPr>
            <w:r w:rsidRPr="00D9359B">
              <w:rPr>
                <w:rFonts w:ascii="Calibri" w:eastAsia="Times New Roman" w:hAnsi="Calibri" w:cs="Calibri"/>
                <w:b/>
                <w:bCs/>
                <w:color w:val="000000"/>
                <w:lang w:val="es-CO" w:eastAsia="es-CO"/>
              </w:rPr>
              <w:t>Nivel de Madurez</w:t>
            </w:r>
          </w:p>
        </w:tc>
      </w:tr>
      <w:tr w:rsidR="000F099B" w:rsidRPr="00D9359B" w14:paraId="7B0EEFDC" w14:textId="77777777" w:rsidTr="000F099B">
        <w:trPr>
          <w:trHeight w:val="300"/>
          <w:jc w:val="center"/>
        </w:trPr>
        <w:tc>
          <w:tcPr>
            <w:tcW w:w="3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5AE18A" w14:textId="77777777" w:rsidR="000F099B" w:rsidRPr="00D9359B" w:rsidRDefault="000F099B" w:rsidP="000F099B">
            <w:pPr>
              <w:rPr>
                <w:rFonts w:ascii="Calibri" w:eastAsia="Times New Roman" w:hAnsi="Calibri" w:cs="Calibri"/>
                <w:b/>
                <w:bCs/>
                <w:color w:val="000000"/>
                <w:sz w:val="20"/>
                <w:szCs w:val="20"/>
                <w:lang w:val="es-CO" w:eastAsia="es-CO"/>
              </w:rPr>
            </w:pPr>
            <w:r w:rsidRPr="00D9359B">
              <w:rPr>
                <w:rFonts w:ascii="Calibri" w:eastAsia="Times New Roman" w:hAnsi="Calibri" w:cs="Calibri"/>
                <w:b/>
                <w:bCs/>
                <w:color w:val="000000"/>
                <w:sz w:val="20"/>
                <w:szCs w:val="20"/>
                <w:lang w:val="es-CO" w:eastAsia="es-CO"/>
              </w:rPr>
              <w:t>REQUERIMIENTOS - SGSI</w:t>
            </w:r>
          </w:p>
        </w:tc>
        <w:tc>
          <w:tcPr>
            <w:tcW w:w="1740" w:type="dxa"/>
            <w:tcBorders>
              <w:top w:val="nil"/>
              <w:left w:val="nil"/>
              <w:bottom w:val="single" w:sz="4" w:space="0" w:color="auto"/>
              <w:right w:val="single" w:sz="4" w:space="0" w:color="auto"/>
            </w:tcBorders>
            <w:shd w:val="clear" w:color="000000" w:fill="D9D9D9"/>
            <w:vAlign w:val="center"/>
            <w:hideMark/>
          </w:tcPr>
          <w:p w14:paraId="148B2A9A" w14:textId="77777777" w:rsidR="000F099B" w:rsidRPr="00D9359B" w:rsidRDefault="000F099B" w:rsidP="000F099B">
            <w:pPr>
              <w:jc w:val="center"/>
              <w:rPr>
                <w:rFonts w:ascii="Calibri" w:eastAsia="Times New Roman" w:hAnsi="Calibri" w:cs="Calibri"/>
                <w:b/>
                <w:bCs/>
                <w:color w:val="000000"/>
                <w:lang w:val="es-CO" w:eastAsia="es-CO"/>
              </w:rPr>
            </w:pPr>
            <w:r w:rsidRPr="00D9359B">
              <w:rPr>
                <w:rFonts w:ascii="Calibri" w:eastAsia="Times New Roman" w:hAnsi="Calibri" w:cs="Calibri"/>
                <w:b/>
                <w:bCs/>
                <w:color w:val="000000"/>
                <w:lang w:val="es-CO" w:eastAsia="es-CO"/>
              </w:rPr>
              <w:t>Nivel Actual</w:t>
            </w:r>
          </w:p>
        </w:tc>
        <w:tc>
          <w:tcPr>
            <w:tcW w:w="1980" w:type="dxa"/>
            <w:tcBorders>
              <w:top w:val="nil"/>
              <w:left w:val="nil"/>
              <w:bottom w:val="single" w:sz="4" w:space="0" w:color="auto"/>
              <w:right w:val="single" w:sz="4" w:space="0" w:color="auto"/>
            </w:tcBorders>
            <w:shd w:val="clear" w:color="000000" w:fill="D9D9D9"/>
            <w:vAlign w:val="center"/>
            <w:hideMark/>
          </w:tcPr>
          <w:p w14:paraId="39EE03A7" w14:textId="77777777" w:rsidR="000F099B" w:rsidRPr="00D9359B" w:rsidRDefault="000F099B" w:rsidP="000F099B">
            <w:pPr>
              <w:jc w:val="center"/>
              <w:rPr>
                <w:rFonts w:ascii="Calibri" w:eastAsia="Times New Roman" w:hAnsi="Calibri" w:cs="Calibri"/>
                <w:b/>
                <w:bCs/>
                <w:color w:val="000000"/>
                <w:lang w:val="es-CO" w:eastAsia="es-CO"/>
              </w:rPr>
            </w:pPr>
            <w:r w:rsidRPr="00D9359B">
              <w:rPr>
                <w:rFonts w:ascii="Calibri" w:eastAsia="Times New Roman" w:hAnsi="Calibri" w:cs="Calibri"/>
                <w:b/>
                <w:bCs/>
                <w:color w:val="000000"/>
                <w:lang w:val="es-CO" w:eastAsia="es-CO"/>
              </w:rPr>
              <w:t>Nivel Deseado</w:t>
            </w:r>
          </w:p>
        </w:tc>
      </w:tr>
      <w:tr w:rsidR="000F099B" w:rsidRPr="00D9359B" w14:paraId="5A4BDE31" w14:textId="77777777" w:rsidTr="000F099B">
        <w:trPr>
          <w:trHeight w:val="300"/>
          <w:jc w:val="center"/>
        </w:trPr>
        <w:tc>
          <w:tcPr>
            <w:tcW w:w="3080" w:type="dxa"/>
            <w:tcBorders>
              <w:top w:val="nil"/>
              <w:left w:val="single" w:sz="4" w:space="0" w:color="auto"/>
              <w:bottom w:val="single" w:sz="4" w:space="0" w:color="auto"/>
              <w:right w:val="single" w:sz="4" w:space="0" w:color="auto"/>
            </w:tcBorders>
            <w:shd w:val="clear" w:color="auto" w:fill="auto"/>
            <w:vAlign w:val="center"/>
            <w:hideMark/>
          </w:tcPr>
          <w:p w14:paraId="0714D518" w14:textId="77777777" w:rsidR="000F099B" w:rsidRPr="00D9359B" w:rsidRDefault="000F099B" w:rsidP="000F099B">
            <w:pPr>
              <w:rPr>
                <w:rFonts w:ascii="Calibri" w:eastAsia="Times New Roman" w:hAnsi="Calibri" w:cs="Calibri"/>
                <w:color w:val="000000"/>
                <w:sz w:val="20"/>
                <w:szCs w:val="20"/>
                <w:lang w:val="es-CO" w:eastAsia="es-CO"/>
              </w:rPr>
            </w:pPr>
            <w:r w:rsidRPr="00D9359B">
              <w:rPr>
                <w:rFonts w:ascii="Calibri" w:eastAsia="Times New Roman" w:hAnsi="Calibri" w:cs="Calibri"/>
                <w:color w:val="000000"/>
                <w:sz w:val="20"/>
                <w:szCs w:val="20"/>
                <w:lang w:val="es-CO" w:eastAsia="es-CO"/>
              </w:rPr>
              <w:t>CONTEXTO DE LA ORGANIZACIÓN</w:t>
            </w:r>
          </w:p>
        </w:tc>
        <w:tc>
          <w:tcPr>
            <w:tcW w:w="1740" w:type="dxa"/>
            <w:tcBorders>
              <w:top w:val="nil"/>
              <w:left w:val="nil"/>
              <w:bottom w:val="single" w:sz="4" w:space="0" w:color="auto"/>
              <w:right w:val="single" w:sz="4" w:space="0" w:color="auto"/>
            </w:tcBorders>
            <w:shd w:val="clear" w:color="auto" w:fill="auto"/>
            <w:vAlign w:val="center"/>
            <w:hideMark/>
          </w:tcPr>
          <w:p w14:paraId="453FAB19" w14:textId="77777777" w:rsidR="000F099B" w:rsidRPr="00D9359B" w:rsidRDefault="000F099B" w:rsidP="000F099B">
            <w:pPr>
              <w:jc w:val="center"/>
              <w:rPr>
                <w:rFonts w:ascii="Calibri" w:eastAsia="Times New Roman" w:hAnsi="Calibri" w:cs="Calibri"/>
                <w:color w:val="000000"/>
                <w:sz w:val="20"/>
                <w:szCs w:val="20"/>
                <w:lang w:val="es-CO" w:eastAsia="es-CO"/>
              </w:rPr>
            </w:pPr>
            <w:r w:rsidRPr="00D9359B">
              <w:rPr>
                <w:rFonts w:ascii="Calibri" w:eastAsia="Times New Roman" w:hAnsi="Calibri" w:cs="Calibri"/>
                <w:color w:val="000000"/>
                <w:sz w:val="20"/>
                <w:szCs w:val="20"/>
                <w:lang w:val="es-CO" w:eastAsia="es-CO"/>
              </w:rPr>
              <w:t>30%</w:t>
            </w:r>
          </w:p>
        </w:tc>
        <w:tc>
          <w:tcPr>
            <w:tcW w:w="1980" w:type="dxa"/>
            <w:tcBorders>
              <w:top w:val="nil"/>
              <w:left w:val="nil"/>
              <w:bottom w:val="single" w:sz="4" w:space="0" w:color="auto"/>
              <w:right w:val="single" w:sz="4" w:space="0" w:color="auto"/>
            </w:tcBorders>
            <w:shd w:val="clear" w:color="auto" w:fill="auto"/>
            <w:vAlign w:val="center"/>
            <w:hideMark/>
          </w:tcPr>
          <w:p w14:paraId="3693AC75" w14:textId="77777777" w:rsidR="000F099B" w:rsidRPr="00D9359B" w:rsidRDefault="000F099B" w:rsidP="000F099B">
            <w:pPr>
              <w:jc w:val="center"/>
              <w:rPr>
                <w:rFonts w:ascii="Calibri" w:eastAsia="Times New Roman" w:hAnsi="Calibri" w:cs="Calibri"/>
                <w:color w:val="000000"/>
                <w:sz w:val="20"/>
                <w:szCs w:val="20"/>
                <w:lang w:val="es-CO" w:eastAsia="es-CO"/>
              </w:rPr>
            </w:pPr>
            <w:r w:rsidRPr="00D9359B">
              <w:rPr>
                <w:rFonts w:ascii="Calibri" w:eastAsia="Times New Roman" w:hAnsi="Calibri" w:cs="Calibri"/>
                <w:color w:val="000000"/>
                <w:sz w:val="20"/>
                <w:szCs w:val="20"/>
                <w:lang w:val="es-CO" w:eastAsia="es-CO"/>
              </w:rPr>
              <w:t>100%</w:t>
            </w:r>
          </w:p>
        </w:tc>
      </w:tr>
      <w:tr w:rsidR="000F099B" w:rsidRPr="00D9359B" w14:paraId="08788DF5" w14:textId="77777777" w:rsidTr="000F099B">
        <w:trPr>
          <w:trHeight w:val="300"/>
          <w:jc w:val="center"/>
        </w:trPr>
        <w:tc>
          <w:tcPr>
            <w:tcW w:w="3080" w:type="dxa"/>
            <w:tcBorders>
              <w:top w:val="nil"/>
              <w:left w:val="single" w:sz="4" w:space="0" w:color="auto"/>
              <w:bottom w:val="single" w:sz="4" w:space="0" w:color="auto"/>
              <w:right w:val="single" w:sz="4" w:space="0" w:color="auto"/>
            </w:tcBorders>
            <w:shd w:val="clear" w:color="auto" w:fill="auto"/>
            <w:vAlign w:val="center"/>
            <w:hideMark/>
          </w:tcPr>
          <w:p w14:paraId="2B97E7E7" w14:textId="77777777" w:rsidR="000F099B" w:rsidRPr="00D9359B" w:rsidRDefault="000F099B" w:rsidP="000F099B">
            <w:pPr>
              <w:rPr>
                <w:rFonts w:ascii="Calibri" w:eastAsia="Times New Roman" w:hAnsi="Calibri" w:cs="Calibri"/>
                <w:color w:val="000000"/>
                <w:sz w:val="20"/>
                <w:szCs w:val="20"/>
                <w:lang w:val="es-CO" w:eastAsia="es-CO"/>
              </w:rPr>
            </w:pPr>
            <w:r w:rsidRPr="00D9359B">
              <w:rPr>
                <w:rFonts w:ascii="Calibri" w:eastAsia="Times New Roman" w:hAnsi="Calibri" w:cs="Calibri"/>
                <w:color w:val="000000"/>
                <w:sz w:val="20"/>
                <w:szCs w:val="20"/>
                <w:lang w:val="es-CO" w:eastAsia="es-CO"/>
              </w:rPr>
              <w:t>LIDERAZGO</w:t>
            </w:r>
          </w:p>
        </w:tc>
        <w:tc>
          <w:tcPr>
            <w:tcW w:w="1740" w:type="dxa"/>
            <w:tcBorders>
              <w:top w:val="nil"/>
              <w:left w:val="nil"/>
              <w:bottom w:val="single" w:sz="4" w:space="0" w:color="auto"/>
              <w:right w:val="single" w:sz="4" w:space="0" w:color="auto"/>
            </w:tcBorders>
            <w:shd w:val="clear" w:color="auto" w:fill="auto"/>
            <w:vAlign w:val="center"/>
            <w:hideMark/>
          </w:tcPr>
          <w:p w14:paraId="7DA8442F" w14:textId="77777777" w:rsidR="000F099B" w:rsidRPr="00D9359B" w:rsidRDefault="000F099B" w:rsidP="000F099B">
            <w:pPr>
              <w:jc w:val="center"/>
              <w:rPr>
                <w:rFonts w:ascii="Calibri" w:eastAsia="Times New Roman" w:hAnsi="Calibri" w:cs="Calibri"/>
                <w:color w:val="000000"/>
                <w:sz w:val="20"/>
                <w:szCs w:val="20"/>
                <w:lang w:val="es-CO" w:eastAsia="es-CO"/>
              </w:rPr>
            </w:pPr>
            <w:r>
              <w:rPr>
                <w:rFonts w:ascii="Calibri" w:eastAsia="Times New Roman" w:hAnsi="Calibri" w:cs="Calibri"/>
                <w:color w:val="000000"/>
                <w:sz w:val="20"/>
                <w:szCs w:val="20"/>
                <w:lang w:val="es-CO" w:eastAsia="es-CO"/>
              </w:rPr>
              <w:t>5</w:t>
            </w:r>
            <w:r w:rsidRPr="00D9359B">
              <w:rPr>
                <w:rFonts w:ascii="Calibri" w:eastAsia="Times New Roman" w:hAnsi="Calibri" w:cs="Calibri"/>
                <w:color w:val="000000"/>
                <w:sz w:val="20"/>
                <w:szCs w:val="20"/>
                <w:lang w:val="es-CO" w:eastAsia="es-CO"/>
              </w:rPr>
              <w:t>4%</w:t>
            </w:r>
          </w:p>
        </w:tc>
        <w:tc>
          <w:tcPr>
            <w:tcW w:w="1980" w:type="dxa"/>
            <w:tcBorders>
              <w:top w:val="nil"/>
              <w:left w:val="nil"/>
              <w:bottom w:val="single" w:sz="4" w:space="0" w:color="auto"/>
              <w:right w:val="single" w:sz="4" w:space="0" w:color="auto"/>
            </w:tcBorders>
            <w:shd w:val="clear" w:color="auto" w:fill="auto"/>
            <w:vAlign w:val="center"/>
            <w:hideMark/>
          </w:tcPr>
          <w:p w14:paraId="3B4CB2EA" w14:textId="77777777" w:rsidR="000F099B" w:rsidRPr="00D9359B" w:rsidRDefault="000F099B" w:rsidP="000F099B">
            <w:pPr>
              <w:jc w:val="center"/>
              <w:rPr>
                <w:rFonts w:ascii="Calibri" w:eastAsia="Times New Roman" w:hAnsi="Calibri" w:cs="Calibri"/>
                <w:color w:val="000000"/>
                <w:sz w:val="20"/>
                <w:szCs w:val="20"/>
                <w:lang w:val="es-CO" w:eastAsia="es-CO"/>
              </w:rPr>
            </w:pPr>
            <w:r w:rsidRPr="00D9359B">
              <w:rPr>
                <w:rFonts w:ascii="Calibri" w:eastAsia="Times New Roman" w:hAnsi="Calibri" w:cs="Calibri"/>
                <w:color w:val="000000"/>
                <w:sz w:val="20"/>
                <w:szCs w:val="20"/>
                <w:lang w:val="es-CO" w:eastAsia="es-CO"/>
              </w:rPr>
              <w:t>100%</w:t>
            </w:r>
          </w:p>
        </w:tc>
      </w:tr>
      <w:tr w:rsidR="000F099B" w:rsidRPr="00D9359B" w14:paraId="0C7BBCEA" w14:textId="77777777" w:rsidTr="000F099B">
        <w:trPr>
          <w:trHeight w:val="300"/>
          <w:jc w:val="center"/>
        </w:trPr>
        <w:tc>
          <w:tcPr>
            <w:tcW w:w="3080" w:type="dxa"/>
            <w:tcBorders>
              <w:top w:val="nil"/>
              <w:left w:val="single" w:sz="4" w:space="0" w:color="auto"/>
              <w:bottom w:val="single" w:sz="4" w:space="0" w:color="auto"/>
              <w:right w:val="single" w:sz="4" w:space="0" w:color="auto"/>
            </w:tcBorders>
            <w:shd w:val="clear" w:color="auto" w:fill="auto"/>
            <w:vAlign w:val="center"/>
            <w:hideMark/>
          </w:tcPr>
          <w:p w14:paraId="13EAA668" w14:textId="77777777" w:rsidR="000F099B" w:rsidRPr="00D9359B" w:rsidRDefault="000F099B" w:rsidP="000F099B">
            <w:pPr>
              <w:rPr>
                <w:rFonts w:ascii="Calibri" w:eastAsia="Times New Roman" w:hAnsi="Calibri" w:cs="Calibri"/>
                <w:color w:val="000000"/>
                <w:sz w:val="20"/>
                <w:szCs w:val="20"/>
                <w:lang w:val="es-CO" w:eastAsia="es-CO"/>
              </w:rPr>
            </w:pPr>
            <w:r w:rsidRPr="00D9359B">
              <w:rPr>
                <w:rFonts w:ascii="Calibri" w:eastAsia="Times New Roman" w:hAnsi="Calibri" w:cs="Calibri"/>
                <w:color w:val="000000"/>
                <w:sz w:val="20"/>
                <w:szCs w:val="20"/>
                <w:lang w:val="es-CO" w:eastAsia="es-CO"/>
              </w:rPr>
              <w:t>PLANIFICACIÓN</w:t>
            </w:r>
          </w:p>
        </w:tc>
        <w:tc>
          <w:tcPr>
            <w:tcW w:w="1740" w:type="dxa"/>
            <w:tcBorders>
              <w:top w:val="nil"/>
              <w:left w:val="nil"/>
              <w:bottom w:val="single" w:sz="4" w:space="0" w:color="auto"/>
              <w:right w:val="single" w:sz="4" w:space="0" w:color="auto"/>
            </w:tcBorders>
            <w:shd w:val="clear" w:color="auto" w:fill="auto"/>
            <w:vAlign w:val="center"/>
            <w:hideMark/>
          </w:tcPr>
          <w:p w14:paraId="2BFE9250" w14:textId="77777777" w:rsidR="000F099B" w:rsidRPr="00D9359B" w:rsidRDefault="000F099B" w:rsidP="000F099B">
            <w:pPr>
              <w:jc w:val="center"/>
              <w:rPr>
                <w:rFonts w:ascii="Calibri" w:eastAsia="Times New Roman" w:hAnsi="Calibri" w:cs="Calibri"/>
                <w:color w:val="000000"/>
                <w:sz w:val="20"/>
                <w:szCs w:val="20"/>
                <w:lang w:val="es-CO" w:eastAsia="es-CO"/>
              </w:rPr>
            </w:pPr>
            <w:r w:rsidRPr="00D9359B">
              <w:rPr>
                <w:rFonts w:ascii="Calibri" w:eastAsia="Times New Roman" w:hAnsi="Calibri" w:cs="Calibri"/>
                <w:color w:val="000000"/>
                <w:sz w:val="20"/>
                <w:szCs w:val="20"/>
                <w:lang w:val="es-CO" w:eastAsia="es-CO"/>
              </w:rPr>
              <w:t>34%</w:t>
            </w:r>
          </w:p>
        </w:tc>
        <w:tc>
          <w:tcPr>
            <w:tcW w:w="1980" w:type="dxa"/>
            <w:tcBorders>
              <w:top w:val="nil"/>
              <w:left w:val="nil"/>
              <w:bottom w:val="single" w:sz="4" w:space="0" w:color="auto"/>
              <w:right w:val="single" w:sz="4" w:space="0" w:color="auto"/>
            </w:tcBorders>
            <w:shd w:val="clear" w:color="auto" w:fill="auto"/>
            <w:vAlign w:val="center"/>
            <w:hideMark/>
          </w:tcPr>
          <w:p w14:paraId="603FD92F" w14:textId="77777777" w:rsidR="000F099B" w:rsidRPr="00D9359B" w:rsidRDefault="000F099B" w:rsidP="000F099B">
            <w:pPr>
              <w:jc w:val="center"/>
              <w:rPr>
                <w:rFonts w:ascii="Calibri" w:eastAsia="Times New Roman" w:hAnsi="Calibri" w:cs="Calibri"/>
                <w:color w:val="000000"/>
                <w:sz w:val="20"/>
                <w:szCs w:val="20"/>
                <w:lang w:val="es-CO" w:eastAsia="es-CO"/>
              </w:rPr>
            </w:pPr>
            <w:r w:rsidRPr="00D9359B">
              <w:rPr>
                <w:rFonts w:ascii="Calibri" w:eastAsia="Times New Roman" w:hAnsi="Calibri" w:cs="Calibri"/>
                <w:color w:val="000000"/>
                <w:sz w:val="20"/>
                <w:szCs w:val="20"/>
                <w:lang w:val="es-CO" w:eastAsia="es-CO"/>
              </w:rPr>
              <w:t>100%</w:t>
            </w:r>
          </w:p>
        </w:tc>
      </w:tr>
      <w:tr w:rsidR="000F099B" w:rsidRPr="00D9359B" w14:paraId="4485FA93" w14:textId="77777777" w:rsidTr="000F099B">
        <w:trPr>
          <w:trHeight w:val="300"/>
          <w:jc w:val="center"/>
        </w:trPr>
        <w:tc>
          <w:tcPr>
            <w:tcW w:w="3080" w:type="dxa"/>
            <w:tcBorders>
              <w:top w:val="nil"/>
              <w:left w:val="single" w:sz="4" w:space="0" w:color="auto"/>
              <w:bottom w:val="single" w:sz="4" w:space="0" w:color="auto"/>
              <w:right w:val="single" w:sz="4" w:space="0" w:color="auto"/>
            </w:tcBorders>
            <w:shd w:val="clear" w:color="auto" w:fill="auto"/>
            <w:vAlign w:val="center"/>
            <w:hideMark/>
          </w:tcPr>
          <w:p w14:paraId="020B1283" w14:textId="77777777" w:rsidR="000F099B" w:rsidRPr="00D9359B" w:rsidRDefault="000F099B" w:rsidP="000F099B">
            <w:pPr>
              <w:rPr>
                <w:rFonts w:ascii="Calibri" w:eastAsia="Times New Roman" w:hAnsi="Calibri" w:cs="Calibri"/>
                <w:color w:val="000000"/>
                <w:sz w:val="20"/>
                <w:szCs w:val="20"/>
                <w:lang w:val="es-CO" w:eastAsia="es-CO"/>
              </w:rPr>
            </w:pPr>
            <w:r w:rsidRPr="00D9359B">
              <w:rPr>
                <w:rFonts w:ascii="Calibri" w:eastAsia="Times New Roman" w:hAnsi="Calibri" w:cs="Calibri"/>
                <w:color w:val="000000"/>
                <w:sz w:val="20"/>
                <w:szCs w:val="20"/>
                <w:lang w:val="es-CO" w:eastAsia="es-CO"/>
              </w:rPr>
              <w:t>SOPORTE</w:t>
            </w:r>
          </w:p>
        </w:tc>
        <w:tc>
          <w:tcPr>
            <w:tcW w:w="1740" w:type="dxa"/>
            <w:tcBorders>
              <w:top w:val="nil"/>
              <w:left w:val="nil"/>
              <w:bottom w:val="single" w:sz="4" w:space="0" w:color="auto"/>
              <w:right w:val="single" w:sz="4" w:space="0" w:color="auto"/>
            </w:tcBorders>
            <w:shd w:val="clear" w:color="auto" w:fill="auto"/>
            <w:vAlign w:val="center"/>
            <w:hideMark/>
          </w:tcPr>
          <w:p w14:paraId="7DD1D339" w14:textId="77777777" w:rsidR="000F099B" w:rsidRPr="00D9359B" w:rsidRDefault="000F099B" w:rsidP="000F099B">
            <w:pPr>
              <w:jc w:val="center"/>
              <w:rPr>
                <w:rFonts w:ascii="Calibri" w:eastAsia="Times New Roman" w:hAnsi="Calibri" w:cs="Calibri"/>
                <w:color w:val="000000"/>
                <w:sz w:val="20"/>
                <w:szCs w:val="20"/>
                <w:lang w:val="es-CO" w:eastAsia="es-CO"/>
              </w:rPr>
            </w:pPr>
            <w:r w:rsidRPr="00D9359B">
              <w:rPr>
                <w:rFonts w:ascii="Calibri" w:eastAsia="Times New Roman" w:hAnsi="Calibri" w:cs="Calibri"/>
                <w:color w:val="000000"/>
                <w:sz w:val="20"/>
                <w:szCs w:val="20"/>
                <w:lang w:val="es-CO" w:eastAsia="es-CO"/>
              </w:rPr>
              <w:t>33%</w:t>
            </w:r>
          </w:p>
        </w:tc>
        <w:tc>
          <w:tcPr>
            <w:tcW w:w="1980" w:type="dxa"/>
            <w:tcBorders>
              <w:top w:val="nil"/>
              <w:left w:val="nil"/>
              <w:bottom w:val="single" w:sz="4" w:space="0" w:color="auto"/>
              <w:right w:val="single" w:sz="4" w:space="0" w:color="auto"/>
            </w:tcBorders>
            <w:shd w:val="clear" w:color="auto" w:fill="auto"/>
            <w:vAlign w:val="center"/>
            <w:hideMark/>
          </w:tcPr>
          <w:p w14:paraId="75A13548" w14:textId="77777777" w:rsidR="000F099B" w:rsidRPr="00D9359B" w:rsidRDefault="000F099B" w:rsidP="000F099B">
            <w:pPr>
              <w:jc w:val="center"/>
              <w:rPr>
                <w:rFonts w:ascii="Calibri" w:eastAsia="Times New Roman" w:hAnsi="Calibri" w:cs="Calibri"/>
                <w:color w:val="000000"/>
                <w:sz w:val="20"/>
                <w:szCs w:val="20"/>
                <w:lang w:val="es-CO" w:eastAsia="es-CO"/>
              </w:rPr>
            </w:pPr>
            <w:r w:rsidRPr="00D9359B">
              <w:rPr>
                <w:rFonts w:ascii="Calibri" w:eastAsia="Times New Roman" w:hAnsi="Calibri" w:cs="Calibri"/>
                <w:color w:val="000000"/>
                <w:sz w:val="20"/>
                <w:szCs w:val="20"/>
                <w:lang w:val="es-CO" w:eastAsia="es-CO"/>
              </w:rPr>
              <w:t>100%</w:t>
            </w:r>
          </w:p>
        </w:tc>
      </w:tr>
      <w:tr w:rsidR="000F099B" w:rsidRPr="00D9359B" w14:paraId="7065765A" w14:textId="77777777" w:rsidTr="000F099B">
        <w:trPr>
          <w:trHeight w:val="300"/>
          <w:jc w:val="center"/>
        </w:trPr>
        <w:tc>
          <w:tcPr>
            <w:tcW w:w="3080" w:type="dxa"/>
            <w:tcBorders>
              <w:top w:val="nil"/>
              <w:left w:val="single" w:sz="4" w:space="0" w:color="auto"/>
              <w:bottom w:val="single" w:sz="4" w:space="0" w:color="auto"/>
              <w:right w:val="single" w:sz="4" w:space="0" w:color="auto"/>
            </w:tcBorders>
            <w:shd w:val="clear" w:color="auto" w:fill="auto"/>
            <w:vAlign w:val="center"/>
            <w:hideMark/>
          </w:tcPr>
          <w:p w14:paraId="62EAB723" w14:textId="77777777" w:rsidR="000F099B" w:rsidRPr="00D9359B" w:rsidRDefault="000F099B" w:rsidP="000F099B">
            <w:pPr>
              <w:rPr>
                <w:rFonts w:ascii="Calibri" w:eastAsia="Times New Roman" w:hAnsi="Calibri" w:cs="Calibri"/>
                <w:color w:val="000000"/>
                <w:sz w:val="20"/>
                <w:szCs w:val="20"/>
                <w:lang w:val="es-CO" w:eastAsia="es-CO"/>
              </w:rPr>
            </w:pPr>
            <w:r w:rsidRPr="00D9359B">
              <w:rPr>
                <w:rFonts w:ascii="Calibri" w:eastAsia="Times New Roman" w:hAnsi="Calibri" w:cs="Calibri"/>
                <w:color w:val="000000"/>
                <w:sz w:val="20"/>
                <w:szCs w:val="20"/>
                <w:lang w:val="es-CO" w:eastAsia="es-CO"/>
              </w:rPr>
              <w:t>OPERACIÓN</w:t>
            </w:r>
          </w:p>
        </w:tc>
        <w:tc>
          <w:tcPr>
            <w:tcW w:w="1740" w:type="dxa"/>
            <w:tcBorders>
              <w:top w:val="nil"/>
              <w:left w:val="nil"/>
              <w:bottom w:val="single" w:sz="4" w:space="0" w:color="auto"/>
              <w:right w:val="single" w:sz="4" w:space="0" w:color="auto"/>
            </w:tcBorders>
            <w:shd w:val="clear" w:color="auto" w:fill="auto"/>
            <w:vAlign w:val="center"/>
            <w:hideMark/>
          </w:tcPr>
          <w:p w14:paraId="61809C78" w14:textId="77777777" w:rsidR="000F099B" w:rsidRPr="00D9359B" w:rsidRDefault="000F099B" w:rsidP="000F099B">
            <w:pPr>
              <w:jc w:val="center"/>
              <w:rPr>
                <w:rFonts w:ascii="Calibri" w:eastAsia="Times New Roman" w:hAnsi="Calibri" w:cs="Calibri"/>
                <w:color w:val="000000"/>
                <w:sz w:val="20"/>
                <w:szCs w:val="20"/>
                <w:lang w:val="es-CO" w:eastAsia="es-CO"/>
              </w:rPr>
            </w:pPr>
            <w:r w:rsidRPr="00D9359B">
              <w:rPr>
                <w:rFonts w:ascii="Calibri" w:eastAsia="Times New Roman" w:hAnsi="Calibri" w:cs="Calibri"/>
                <w:color w:val="000000"/>
                <w:sz w:val="20"/>
                <w:szCs w:val="20"/>
                <w:lang w:val="es-CO" w:eastAsia="es-CO"/>
              </w:rPr>
              <w:t>13%</w:t>
            </w:r>
          </w:p>
        </w:tc>
        <w:tc>
          <w:tcPr>
            <w:tcW w:w="1980" w:type="dxa"/>
            <w:tcBorders>
              <w:top w:val="nil"/>
              <w:left w:val="nil"/>
              <w:bottom w:val="single" w:sz="4" w:space="0" w:color="auto"/>
              <w:right w:val="single" w:sz="4" w:space="0" w:color="auto"/>
            </w:tcBorders>
            <w:shd w:val="clear" w:color="auto" w:fill="auto"/>
            <w:vAlign w:val="center"/>
            <w:hideMark/>
          </w:tcPr>
          <w:p w14:paraId="1DFF90DF" w14:textId="77777777" w:rsidR="000F099B" w:rsidRPr="00D9359B" w:rsidRDefault="000F099B" w:rsidP="000F099B">
            <w:pPr>
              <w:jc w:val="center"/>
              <w:rPr>
                <w:rFonts w:ascii="Calibri" w:eastAsia="Times New Roman" w:hAnsi="Calibri" w:cs="Calibri"/>
                <w:color w:val="000000"/>
                <w:sz w:val="20"/>
                <w:szCs w:val="20"/>
                <w:lang w:val="es-CO" w:eastAsia="es-CO"/>
              </w:rPr>
            </w:pPr>
            <w:r w:rsidRPr="00D9359B">
              <w:rPr>
                <w:rFonts w:ascii="Calibri" w:eastAsia="Times New Roman" w:hAnsi="Calibri" w:cs="Calibri"/>
                <w:color w:val="000000"/>
                <w:sz w:val="20"/>
                <w:szCs w:val="20"/>
                <w:lang w:val="es-CO" w:eastAsia="es-CO"/>
              </w:rPr>
              <w:t>100%</w:t>
            </w:r>
          </w:p>
        </w:tc>
      </w:tr>
      <w:tr w:rsidR="000F099B" w:rsidRPr="00D9359B" w14:paraId="1EF96D42" w14:textId="77777777" w:rsidTr="000F099B">
        <w:trPr>
          <w:trHeight w:val="300"/>
          <w:jc w:val="center"/>
        </w:trPr>
        <w:tc>
          <w:tcPr>
            <w:tcW w:w="3080" w:type="dxa"/>
            <w:tcBorders>
              <w:top w:val="nil"/>
              <w:left w:val="single" w:sz="4" w:space="0" w:color="auto"/>
              <w:bottom w:val="single" w:sz="4" w:space="0" w:color="auto"/>
              <w:right w:val="single" w:sz="4" w:space="0" w:color="auto"/>
            </w:tcBorders>
            <w:shd w:val="clear" w:color="auto" w:fill="auto"/>
            <w:vAlign w:val="center"/>
            <w:hideMark/>
          </w:tcPr>
          <w:p w14:paraId="7F7A5580" w14:textId="77777777" w:rsidR="000F099B" w:rsidRPr="00D9359B" w:rsidRDefault="000F099B" w:rsidP="000F099B">
            <w:pPr>
              <w:rPr>
                <w:rFonts w:ascii="Calibri" w:eastAsia="Times New Roman" w:hAnsi="Calibri" w:cs="Calibri"/>
                <w:color w:val="000000"/>
                <w:sz w:val="20"/>
                <w:szCs w:val="20"/>
                <w:lang w:val="es-CO" w:eastAsia="es-CO"/>
              </w:rPr>
            </w:pPr>
            <w:r w:rsidRPr="00D9359B">
              <w:rPr>
                <w:rFonts w:ascii="Calibri" w:eastAsia="Times New Roman" w:hAnsi="Calibri" w:cs="Calibri"/>
                <w:color w:val="000000"/>
                <w:sz w:val="20"/>
                <w:szCs w:val="20"/>
                <w:lang w:val="es-CO" w:eastAsia="es-CO"/>
              </w:rPr>
              <w:t>EVALUACIÓN DEL DESEMPEÑO</w:t>
            </w:r>
          </w:p>
        </w:tc>
        <w:tc>
          <w:tcPr>
            <w:tcW w:w="1740" w:type="dxa"/>
            <w:tcBorders>
              <w:top w:val="nil"/>
              <w:left w:val="nil"/>
              <w:bottom w:val="single" w:sz="4" w:space="0" w:color="auto"/>
              <w:right w:val="single" w:sz="4" w:space="0" w:color="auto"/>
            </w:tcBorders>
            <w:shd w:val="clear" w:color="auto" w:fill="auto"/>
            <w:vAlign w:val="center"/>
            <w:hideMark/>
          </w:tcPr>
          <w:p w14:paraId="132F049E" w14:textId="77777777" w:rsidR="000F099B" w:rsidRPr="00D9359B" w:rsidRDefault="000F099B" w:rsidP="000F099B">
            <w:pPr>
              <w:jc w:val="center"/>
              <w:rPr>
                <w:rFonts w:ascii="Calibri" w:eastAsia="Times New Roman" w:hAnsi="Calibri" w:cs="Calibri"/>
                <w:color w:val="000000"/>
                <w:sz w:val="20"/>
                <w:szCs w:val="20"/>
                <w:lang w:val="es-CO" w:eastAsia="es-CO"/>
              </w:rPr>
            </w:pPr>
            <w:r w:rsidRPr="00D9359B">
              <w:rPr>
                <w:rFonts w:ascii="Calibri" w:eastAsia="Times New Roman" w:hAnsi="Calibri" w:cs="Calibri"/>
                <w:color w:val="000000"/>
                <w:sz w:val="20"/>
                <w:szCs w:val="20"/>
                <w:lang w:val="es-CO" w:eastAsia="es-CO"/>
              </w:rPr>
              <w:t>7%</w:t>
            </w:r>
          </w:p>
        </w:tc>
        <w:tc>
          <w:tcPr>
            <w:tcW w:w="1980" w:type="dxa"/>
            <w:tcBorders>
              <w:top w:val="nil"/>
              <w:left w:val="nil"/>
              <w:bottom w:val="single" w:sz="4" w:space="0" w:color="auto"/>
              <w:right w:val="single" w:sz="4" w:space="0" w:color="auto"/>
            </w:tcBorders>
            <w:shd w:val="clear" w:color="auto" w:fill="auto"/>
            <w:vAlign w:val="center"/>
            <w:hideMark/>
          </w:tcPr>
          <w:p w14:paraId="0DD0D148" w14:textId="77777777" w:rsidR="000F099B" w:rsidRPr="00D9359B" w:rsidRDefault="000F099B" w:rsidP="000F099B">
            <w:pPr>
              <w:jc w:val="center"/>
              <w:rPr>
                <w:rFonts w:ascii="Calibri" w:eastAsia="Times New Roman" w:hAnsi="Calibri" w:cs="Calibri"/>
                <w:color w:val="000000"/>
                <w:sz w:val="20"/>
                <w:szCs w:val="20"/>
                <w:lang w:val="es-CO" w:eastAsia="es-CO"/>
              </w:rPr>
            </w:pPr>
            <w:r w:rsidRPr="00D9359B">
              <w:rPr>
                <w:rFonts w:ascii="Calibri" w:eastAsia="Times New Roman" w:hAnsi="Calibri" w:cs="Calibri"/>
                <w:color w:val="000000"/>
                <w:sz w:val="20"/>
                <w:szCs w:val="20"/>
                <w:lang w:val="es-CO" w:eastAsia="es-CO"/>
              </w:rPr>
              <w:t>100%</w:t>
            </w:r>
          </w:p>
        </w:tc>
      </w:tr>
      <w:tr w:rsidR="000F099B" w:rsidRPr="00D9359B" w14:paraId="0118FCE0" w14:textId="77777777" w:rsidTr="000F099B">
        <w:trPr>
          <w:trHeight w:val="300"/>
          <w:jc w:val="center"/>
        </w:trPr>
        <w:tc>
          <w:tcPr>
            <w:tcW w:w="3080" w:type="dxa"/>
            <w:tcBorders>
              <w:top w:val="nil"/>
              <w:left w:val="single" w:sz="4" w:space="0" w:color="auto"/>
              <w:bottom w:val="single" w:sz="4" w:space="0" w:color="auto"/>
              <w:right w:val="single" w:sz="4" w:space="0" w:color="auto"/>
            </w:tcBorders>
            <w:shd w:val="clear" w:color="auto" w:fill="auto"/>
            <w:vAlign w:val="center"/>
            <w:hideMark/>
          </w:tcPr>
          <w:p w14:paraId="61E135FF" w14:textId="77777777" w:rsidR="000F099B" w:rsidRPr="00D9359B" w:rsidRDefault="000F099B" w:rsidP="000F099B">
            <w:pPr>
              <w:rPr>
                <w:rFonts w:ascii="Calibri" w:eastAsia="Times New Roman" w:hAnsi="Calibri" w:cs="Calibri"/>
                <w:color w:val="000000"/>
                <w:sz w:val="20"/>
                <w:szCs w:val="20"/>
                <w:lang w:val="es-CO" w:eastAsia="es-CO"/>
              </w:rPr>
            </w:pPr>
            <w:r w:rsidRPr="00D9359B">
              <w:rPr>
                <w:rFonts w:ascii="Calibri" w:eastAsia="Times New Roman" w:hAnsi="Calibri" w:cs="Calibri"/>
                <w:color w:val="000000"/>
                <w:sz w:val="20"/>
                <w:szCs w:val="20"/>
                <w:lang w:val="es-CO" w:eastAsia="es-CO"/>
              </w:rPr>
              <w:t>MEJORA</w:t>
            </w:r>
          </w:p>
        </w:tc>
        <w:tc>
          <w:tcPr>
            <w:tcW w:w="1740" w:type="dxa"/>
            <w:tcBorders>
              <w:top w:val="nil"/>
              <w:left w:val="nil"/>
              <w:bottom w:val="single" w:sz="4" w:space="0" w:color="auto"/>
              <w:right w:val="single" w:sz="4" w:space="0" w:color="auto"/>
            </w:tcBorders>
            <w:shd w:val="clear" w:color="auto" w:fill="auto"/>
            <w:vAlign w:val="center"/>
            <w:hideMark/>
          </w:tcPr>
          <w:p w14:paraId="17E15A3F" w14:textId="77777777" w:rsidR="000F099B" w:rsidRPr="00D9359B" w:rsidRDefault="000F099B" w:rsidP="000F099B">
            <w:pPr>
              <w:jc w:val="center"/>
              <w:rPr>
                <w:rFonts w:ascii="Calibri" w:eastAsia="Times New Roman" w:hAnsi="Calibri" w:cs="Calibri"/>
                <w:color w:val="000000"/>
                <w:sz w:val="20"/>
                <w:szCs w:val="20"/>
                <w:lang w:val="es-CO" w:eastAsia="es-CO"/>
              </w:rPr>
            </w:pPr>
            <w:r w:rsidRPr="00D9359B">
              <w:rPr>
                <w:rFonts w:ascii="Calibri" w:eastAsia="Times New Roman" w:hAnsi="Calibri" w:cs="Calibri"/>
                <w:color w:val="000000"/>
                <w:sz w:val="20"/>
                <w:szCs w:val="20"/>
                <w:lang w:val="es-CO" w:eastAsia="es-CO"/>
              </w:rPr>
              <w:t>0%</w:t>
            </w:r>
          </w:p>
        </w:tc>
        <w:tc>
          <w:tcPr>
            <w:tcW w:w="1980" w:type="dxa"/>
            <w:tcBorders>
              <w:top w:val="nil"/>
              <w:left w:val="nil"/>
              <w:bottom w:val="single" w:sz="4" w:space="0" w:color="auto"/>
              <w:right w:val="single" w:sz="4" w:space="0" w:color="auto"/>
            </w:tcBorders>
            <w:shd w:val="clear" w:color="auto" w:fill="auto"/>
            <w:vAlign w:val="center"/>
            <w:hideMark/>
          </w:tcPr>
          <w:p w14:paraId="3B4FD7DD" w14:textId="77777777" w:rsidR="000F099B" w:rsidRPr="00D9359B" w:rsidRDefault="000F099B" w:rsidP="000F099B">
            <w:pPr>
              <w:jc w:val="center"/>
              <w:rPr>
                <w:rFonts w:ascii="Calibri" w:eastAsia="Times New Roman" w:hAnsi="Calibri" w:cs="Calibri"/>
                <w:color w:val="000000"/>
                <w:sz w:val="20"/>
                <w:szCs w:val="20"/>
                <w:lang w:val="es-CO" w:eastAsia="es-CO"/>
              </w:rPr>
            </w:pPr>
            <w:r w:rsidRPr="00D9359B">
              <w:rPr>
                <w:rFonts w:ascii="Calibri" w:eastAsia="Times New Roman" w:hAnsi="Calibri" w:cs="Calibri"/>
                <w:color w:val="000000"/>
                <w:sz w:val="20"/>
                <w:szCs w:val="20"/>
                <w:lang w:val="es-CO" w:eastAsia="es-CO"/>
              </w:rPr>
              <w:t>100%</w:t>
            </w:r>
          </w:p>
        </w:tc>
      </w:tr>
    </w:tbl>
    <w:p w14:paraId="36A9CAB5" w14:textId="77777777" w:rsidR="000F099B" w:rsidRPr="006812C9" w:rsidRDefault="000F099B" w:rsidP="000F099B"/>
    <w:p w14:paraId="2AD2577A" w14:textId="77777777" w:rsidR="000F099B" w:rsidRDefault="000F099B" w:rsidP="000F099B">
      <w:pPr>
        <w:pStyle w:val="Descripcin"/>
        <w:jc w:val="center"/>
        <w:rPr>
          <w:rFonts w:cs="Open Sans"/>
          <w:b/>
          <w:color w:val="000000" w:themeColor="text1"/>
          <w:szCs w:val="24"/>
        </w:rPr>
      </w:pPr>
      <w:bookmarkStart w:id="50" w:name="_Toc494148279"/>
      <w:bookmarkStart w:id="51" w:name="_Toc528828150"/>
      <w:r w:rsidRPr="00C37EF4">
        <w:rPr>
          <w:rFonts w:cs="Open Sans"/>
          <w:color w:val="000000" w:themeColor="text1"/>
          <w:szCs w:val="24"/>
        </w:rPr>
        <w:t xml:space="preserve">Tabla </w:t>
      </w:r>
      <w:r w:rsidRPr="00C37EF4">
        <w:rPr>
          <w:rFonts w:cs="Open Sans"/>
          <w:b/>
          <w:color w:val="000000" w:themeColor="text1"/>
          <w:szCs w:val="24"/>
        </w:rPr>
        <w:fldChar w:fldCharType="begin"/>
      </w:r>
      <w:r w:rsidRPr="00C37EF4">
        <w:rPr>
          <w:rFonts w:cs="Open Sans"/>
          <w:color w:val="000000" w:themeColor="text1"/>
          <w:szCs w:val="24"/>
        </w:rPr>
        <w:instrText xml:space="preserve"> SEQ Tabla \* ARABIC </w:instrText>
      </w:r>
      <w:r w:rsidRPr="00C37EF4">
        <w:rPr>
          <w:rFonts w:cs="Open Sans"/>
          <w:b/>
          <w:color w:val="000000" w:themeColor="text1"/>
          <w:szCs w:val="24"/>
        </w:rPr>
        <w:fldChar w:fldCharType="separate"/>
      </w:r>
      <w:r w:rsidR="0098415C">
        <w:rPr>
          <w:rFonts w:cs="Open Sans"/>
          <w:noProof/>
          <w:color w:val="000000" w:themeColor="text1"/>
          <w:szCs w:val="24"/>
        </w:rPr>
        <w:t>6</w:t>
      </w:r>
      <w:r w:rsidRPr="00C37EF4">
        <w:rPr>
          <w:rFonts w:cs="Open Sans"/>
          <w:b/>
          <w:color w:val="000000" w:themeColor="text1"/>
          <w:szCs w:val="24"/>
        </w:rPr>
        <w:fldChar w:fldCharType="end"/>
      </w:r>
      <w:r w:rsidRPr="00C37EF4">
        <w:rPr>
          <w:rFonts w:cs="Open Sans"/>
          <w:color w:val="000000" w:themeColor="text1"/>
          <w:szCs w:val="24"/>
        </w:rPr>
        <w:t xml:space="preserve">. Detalle del Nivel de Madurez de Clausulas ISO/IEC 27001 </w:t>
      </w:r>
      <w:bookmarkEnd w:id="50"/>
      <w:r>
        <w:rPr>
          <w:rFonts w:cs="Open Sans"/>
          <w:color w:val="000000" w:themeColor="text1"/>
          <w:szCs w:val="24"/>
        </w:rPr>
        <w:t>Instituto Nacional de Salud</w:t>
      </w:r>
      <w:bookmarkEnd w:id="51"/>
    </w:p>
    <w:p w14:paraId="62729A77" w14:textId="77777777" w:rsidR="000F099B" w:rsidRDefault="004D22CB" w:rsidP="004D22CB">
      <w:pPr>
        <w:rPr>
          <w:rFonts w:cs="Open Sans"/>
          <w:b/>
          <w:color w:val="000000" w:themeColor="text1"/>
          <w:szCs w:val="24"/>
        </w:rPr>
      </w:pPr>
      <w:r>
        <w:rPr>
          <w:noProof/>
        </w:rPr>
        <w:drawing>
          <wp:anchor distT="0" distB="0" distL="114300" distR="114300" simplePos="0" relativeHeight="251658240" behindDoc="0" locked="0" layoutInCell="1" allowOverlap="1" wp14:anchorId="02D75926" wp14:editId="1A83BC75">
            <wp:simplePos x="0" y="0"/>
            <wp:positionH relativeFrom="margin">
              <wp:align>left</wp:align>
            </wp:positionH>
            <wp:positionV relativeFrom="paragraph">
              <wp:posOffset>299085</wp:posOffset>
            </wp:positionV>
            <wp:extent cx="5724525" cy="2876550"/>
            <wp:effectExtent l="0" t="0" r="9525" b="0"/>
            <wp:wrapTopAndBottom/>
            <wp:docPr id="10" name="Gráfico 10">
              <a:extLst xmlns:a="http://schemas.openxmlformats.org/drawingml/2006/main">
                <a:ext uri="{FF2B5EF4-FFF2-40B4-BE49-F238E27FC236}">
                  <a16:creationId xmlns:a16="http://schemas.microsoft.com/office/drawing/2014/main" id="{7A4180A9-BB20-48DC-BB26-BE5FFFD725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0F099B">
        <w:rPr>
          <w:rFonts w:ascii="Open Sans" w:hAnsi="Open Sans" w:cs="Open Sans"/>
          <w:color w:val="000000" w:themeColor="text1"/>
          <w:szCs w:val="24"/>
        </w:rPr>
        <w:t>L</w:t>
      </w:r>
      <w:r w:rsidR="000F099B" w:rsidRPr="00C37EF4">
        <w:rPr>
          <w:rFonts w:ascii="Open Sans" w:hAnsi="Open Sans" w:cs="Open Sans"/>
          <w:color w:val="000000" w:themeColor="text1"/>
          <w:szCs w:val="24"/>
        </w:rPr>
        <w:t xml:space="preserve">a ilustración </w:t>
      </w:r>
      <w:r w:rsidR="000F099B">
        <w:rPr>
          <w:rFonts w:ascii="Open Sans" w:hAnsi="Open Sans" w:cs="Open Sans"/>
          <w:color w:val="000000" w:themeColor="text1"/>
          <w:szCs w:val="24"/>
        </w:rPr>
        <w:t>4</w:t>
      </w:r>
      <w:r w:rsidR="000F099B" w:rsidRPr="00C37EF4">
        <w:rPr>
          <w:rFonts w:ascii="Open Sans" w:hAnsi="Open Sans" w:cs="Open Sans"/>
          <w:color w:val="000000" w:themeColor="text1"/>
          <w:szCs w:val="24"/>
        </w:rPr>
        <w:t xml:space="preserve">, representa el nivel de madurez correspondiente a cada uno de los requisitos mandatorios </w:t>
      </w:r>
      <w:r w:rsidR="000F099B">
        <w:rPr>
          <w:rFonts w:ascii="Open Sans" w:hAnsi="Open Sans" w:cs="Open Sans"/>
          <w:color w:val="000000" w:themeColor="text1"/>
          <w:szCs w:val="24"/>
        </w:rPr>
        <w:t xml:space="preserve">del estándar ISO/IEC </w:t>
      </w:r>
      <w:proofErr w:type="gramStart"/>
      <w:r w:rsidR="000F099B">
        <w:rPr>
          <w:rFonts w:ascii="Open Sans" w:hAnsi="Open Sans" w:cs="Open Sans"/>
          <w:color w:val="000000" w:themeColor="text1"/>
          <w:szCs w:val="24"/>
        </w:rPr>
        <w:t>27001:2013.</w:t>
      </w:r>
      <w:bookmarkStart w:id="52" w:name="_Toc494148285"/>
      <w:bookmarkStart w:id="53" w:name="_Toc528828155"/>
      <w:r w:rsidR="000F099B" w:rsidRPr="00C37EF4">
        <w:rPr>
          <w:rFonts w:cs="Open Sans"/>
          <w:color w:val="000000" w:themeColor="text1"/>
          <w:szCs w:val="24"/>
        </w:rPr>
        <w:t>Ilustración</w:t>
      </w:r>
      <w:proofErr w:type="gramEnd"/>
      <w:r w:rsidR="000F099B" w:rsidRPr="00C37EF4">
        <w:rPr>
          <w:rFonts w:cs="Open Sans"/>
          <w:color w:val="000000" w:themeColor="text1"/>
          <w:szCs w:val="24"/>
        </w:rPr>
        <w:t xml:space="preserve"> </w:t>
      </w:r>
      <w:r w:rsidR="000F099B" w:rsidRPr="00C37EF4">
        <w:rPr>
          <w:rFonts w:cs="Open Sans"/>
          <w:b/>
          <w:color w:val="000000" w:themeColor="text1"/>
          <w:szCs w:val="24"/>
        </w:rPr>
        <w:fldChar w:fldCharType="begin"/>
      </w:r>
      <w:r w:rsidR="000F099B" w:rsidRPr="00C37EF4">
        <w:rPr>
          <w:rFonts w:cs="Open Sans"/>
          <w:color w:val="000000" w:themeColor="text1"/>
          <w:szCs w:val="24"/>
        </w:rPr>
        <w:instrText xml:space="preserve"> SEQ Ilustración \* ARABIC </w:instrText>
      </w:r>
      <w:r w:rsidR="000F099B" w:rsidRPr="00C37EF4">
        <w:rPr>
          <w:rFonts w:cs="Open Sans"/>
          <w:b/>
          <w:color w:val="000000" w:themeColor="text1"/>
          <w:szCs w:val="24"/>
        </w:rPr>
        <w:fldChar w:fldCharType="separate"/>
      </w:r>
      <w:r w:rsidR="0098415C">
        <w:rPr>
          <w:rFonts w:cs="Open Sans"/>
          <w:noProof/>
          <w:color w:val="000000" w:themeColor="text1"/>
          <w:szCs w:val="24"/>
        </w:rPr>
        <w:t>4</w:t>
      </w:r>
      <w:r w:rsidR="000F099B" w:rsidRPr="00C37EF4">
        <w:rPr>
          <w:rFonts w:cs="Open Sans"/>
          <w:b/>
          <w:color w:val="000000" w:themeColor="text1"/>
          <w:szCs w:val="24"/>
        </w:rPr>
        <w:fldChar w:fldCharType="end"/>
      </w:r>
      <w:r w:rsidR="000F099B" w:rsidRPr="00C37EF4">
        <w:rPr>
          <w:rFonts w:cs="Open Sans"/>
          <w:color w:val="000000" w:themeColor="text1"/>
          <w:szCs w:val="24"/>
        </w:rPr>
        <w:t xml:space="preserve">. Nivel de Madurez ISO/IEC 27001 en </w:t>
      </w:r>
      <w:bookmarkEnd w:id="52"/>
      <w:r w:rsidR="000F099B" w:rsidRPr="00C37EF4">
        <w:rPr>
          <w:rFonts w:cs="Open Sans"/>
          <w:color w:val="000000" w:themeColor="text1"/>
          <w:szCs w:val="24"/>
        </w:rPr>
        <w:t xml:space="preserve">el </w:t>
      </w:r>
      <w:r w:rsidR="000F099B">
        <w:rPr>
          <w:rFonts w:cs="Open Sans"/>
          <w:color w:val="000000" w:themeColor="text1"/>
          <w:szCs w:val="24"/>
        </w:rPr>
        <w:t>Instituto Nacional de Salud</w:t>
      </w:r>
      <w:bookmarkEnd w:id="53"/>
    </w:p>
    <w:p w14:paraId="619CBB71" w14:textId="77777777" w:rsidR="000F099B" w:rsidRDefault="000F099B" w:rsidP="000F099B">
      <w:pPr>
        <w:rPr>
          <w:rFonts w:ascii="Open Sans" w:hAnsi="Open Sans" w:cs="Open Sans"/>
          <w:color w:val="000000" w:themeColor="text1"/>
          <w:szCs w:val="24"/>
        </w:rPr>
      </w:pPr>
    </w:p>
    <w:p w14:paraId="54CFD3B0" w14:textId="77777777" w:rsidR="000F099B" w:rsidRPr="00F441CB" w:rsidRDefault="000F099B" w:rsidP="000F099B">
      <w:pPr>
        <w:rPr>
          <w:rFonts w:ascii="Open Sans" w:hAnsi="Open Sans" w:cs="Open Sans"/>
          <w:b/>
          <w:color w:val="000000" w:themeColor="text1"/>
          <w:szCs w:val="24"/>
        </w:rPr>
      </w:pPr>
      <w:r w:rsidRPr="00F441CB">
        <w:rPr>
          <w:rFonts w:ascii="Open Sans" w:hAnsi="Open Sans" w:cs="Open Sans"/>
          <w:b/>
          <w:color w:val="000000" w:themeColor="text1"/>
          <w:szCs w:val="24"/>
        </w:rPr>
        <w:t>Nota:</w:t>
      </w:r>
    </w:p>
    <w:p w14:paraId="43F8E785" w14:textId="77777777" w:rsidR="000F099B" w:rsidRDefault="000F099B" w:rsidP="000F099B">
      <w:pPr>
        <w:rPr>
          <w:rFonts w:ascii="Open Sans" w:hAnsi="Open Sans" w:cs="Open Sans"/>
          <w:szCs w:val="24"/>
        </w:rPr>
      </w:pPr>
      <w:r>
        <w:rPr>
          <w:rFonts w:ascii="Open Sans" w:hAnsi="Open Sans" w:cs="Open Sans"/>
          <w:color w:val="000000" w:themeColor="text1"/>
          <w:szCs w:val="24"/>
        </w:rPr>
        <w:t xml:space="preserve">El promedio </w:t>
      </w:r>
      <w:r w:rsidR="004D22CB">
        <w:rPr>
          <w:rFonts w:ascii="Open Sans" w:hAnsi="Open Sans" w:cs="Open Sans"/>
          <w:color w:val="000000" w:themeColor="text1"/>
          <w:szCs w:val="24"/>
        </w:rPr>
        <w:t xml:space="preserve">en el 2018 </w:t>
      </w:r>
      <w:r>
        <w:rPr>
          <w:rFonts w:ascii="Open Sans" w:hAnsi="Open Sans" w:cs="Open Sans"/>
          <w:color w:val="000000" w:themeColor="text1"/>
          <w:szCs w:val="24"/>
        </w:rPr>
        <w:t xml:space="preserve">de los niveles de madurez de las cláusulas </w:t>
      </w:r>
      <w:r w:rsidR="004D22CB">
        <w:rPr>
          <w:rFonts w:ascii="Open Sans" w:hAnsi="Open Sans" w:cs="Open Sans"/>
          <w:color w:val="000000" w:themeColor="text1"/>
          <w:szCs w:val="24"/>
        </w:rPr>
        <w:t>mandatarias</w:t>
      </w:r>
      <w:r>
        <w:rPr>
          <w:rFonts w:ascii="Open Sans" w:hAnsi="Open Sans" w:cs="Open Sans"/>
          <w:color w:val="000000" w:themeColor="text1"/>
          <w:szCs w:val="24"/>
        </w:rPr>
        <w:t xml:space="preserve"> nos indica el nivel de madurez actual del INS respecto a</w:t>
      </w:r>
      <w:r>
        <w:rPr>
          <w:rFonts w:ascii="Open Sans" w:hAnsi="Open Sans" w:cs="Open Sans"/>
          <w:szCs w:val="24"/>
        </w:rPr>
        <w:t>l estándar</w:t>
      </w:r>
      <w:r w:rsidRPr="00B74EC4">
        <w:rPr>
          <w:rFonts w:ascii="Open Sans" w:hAnsi="Open Sans" w:cs="Open Sans"/>
          <w:szCs w:val="24"/>
        </w:rPr>
        <w:t xml:space="preserve"> ISO/IEC 27001:2013</w:t>
      </w:r>
      <w:r>
        <w:rPr>
          <w:rFonts w:ascii="Open Sans" w:hAnsi="Open Sans" w:cs="Open Sans"/>
          <w:szCs w:val="24"/>
        </w:rPr>
        <w:t>, el cual es</w:t>
      </w:r>
      <w:r w:rsidRPr="00B74EC4">
        <w:rPr>
          <w:rFonts w:ascii="Open Sans" w:hAnsi="Open Sans" w:cs="Open Sans"/>
          <w:szCs w:val="24"/>
        </w:rPr>
        <w:t xml:space="preserve">: </w:t>
      </w:r>
      <w:r w:rsidRPr="00F441CB">
        <w:rPr>
          <w:rFonts w:ascii="Open Sans" w:hAnsi="Open Sans" w:cs="Open Sans"/>
          <w:b/>
          <w:szCs w:val="24"/>
          <w:u w:val="single"/>
        </w:rPr>
        <w:t>REPETIBLE con un 2</w:t>
      </w:r>
      <w:r>
        <w:rPr>
          <w:rFonts w:ascii="Open Sans" w:hAnsi="Open Sans" w:cs="Open Sans"/>
          <w:b/>
          <w:szCs w:val="24"/>
          <w:u w:val="single"/>
        </w:rPr>
        <w:t>4</w:t>
      </w:r>
      <w:r w:rsidRPr="00F441CB">
        <w:rPr>
          <w:rFonts w:ascii="Open Sans" w:hAnsi="Open Sans" w:cs="Open Sans"/>
          <w:b/>
          <w:szCs w:val="24"/>
          <w:u w:val="single"/>
        </w:rPr>
        <w:t>%.</w:t>
      </w:r>
      <w:r w:rsidRPr="00B74EC4">
        <w:rPr>
          <w:rFonts w:ascii="Open Sans" w:hAnsi="Open Sans" w:cs="Open Sans"/>
          <w:szCs w:val="24"/>
        </w:rPr>
        <w:t xml:space="preserve"> </w:t>
      </w:r>
      <w:r>
        <w:rPr>
          <w:rFonts w:ascii="Open Sans" w:hAnsi="Open Sans" w:cs="Open Sans"/>
          <w:szCs w:val="24"/>
        </w:rPr>
        <w:t xml:space="preserve"> </w:t>
      </w:r>
    </w:p>
    <w:p w14:paraId="3ED6B853" w14:textId="77777777" w:rsidR="004D22CB" w:rsidRDefault="004D22CB" w:rsidP="000F099B">
      <w:pPr>
        <w:rPr>
          <w:rFonts w:ascii="Open Sans" w:hAnsi="Open Sans" w:cs="Open Sans"/>
          <w:szCs w:val="24"/>
        </w:rPr>
      </w:pPr>
    </w:p>
    <w:p w14:paraId="4E6A2E47" w14:textId="77777777" w:rsidR="009A58F2" w:rsidRDefault="009A58F2" w:rsidP="000F099B">
      <w:pPr>
        <w:rPr>
          <w:rFonts w:ascii="Open Sans" w:hAnsi="Open Sans" w:cs="Open Sans"/>
          <w:szCs w:val="24"/>
        </w:rPr>
      </w:pPr>
    </w:p>
    <w:p w14:paraId="5A7E49BC" w14:textId="77777777" w:rsidR="009A58F2" w:rsidRDefault="009A58F2" w:rsidP="000F099B">
      <w:pPr>
        <w:rPr>
          <w:rFonts w:ascii="Open Sans" w:hAnsi="Open Sans" w:cs="Open Sans"/>
          <w:szCs w:val="24"/>
        </w:rPr>
      </w:pPr>
    </w:p>
    <w:p w14:paraId="39DF995F" w14:textId="77777777" w:rsidR="009A58F2" w:rsidRDefault="009A58F2" w:rsidP="000F099B">
      <w:pPr>
        <w:rPr>
          <w:rFonts w:ascii="Open Sans" w:hAnsi="Open Sans" w:cs="Open Sans"/>
          <w:szCs w:val="24"/>
        </w:rPr>
      </w:pPr>
    </w:p>
    <w:p w14:paraId="520BB6D0" w14:textId="77777777" w:rsidR="009A58F2" w:rsidRDefault="009A58F2" w:rsidP="000F099B">
      <w:pPr>
        <w:rPr>
          <w:rFonts w:ascii="Open Sans" w:hAnsi="Open Sans" w:cs="Open Sans"/>
          <w:szCs w:val="24"/>
        </w:rPr>
      </w:pPr>
    </w:p>
    <w:p w14:paraId="26713995" w14:textId="77777777" w:rsidR="009A58F2" w:rsidRDefault="009A58F2" w:rsidP="000F099B">
      <w:pPr>
        <w:rPr>
          <w:rFonts w:ascii="Open Sans" w:hAnsi="Open Sans" w:cs="Open Sans"/>
          <w:szCs w:val="24"/>
        </w:rPr>
      </w:pPr>
    </w:p>
    <w:p w14:paraId="60BAD1CF" w14:textId="77777777" w:rsidR="009A58F2" w:rsidRDefault="009A58F2" w:rsidP="000F099B">
      <w:pPr>
        <w:rPr>
          <w:rFonts w:ascii="Open Sans" w:hAnsi="Open Sans" w:cs="Open Sans"/>
          <w:szCs w:val="24"/>
        </w:rPr>
      </w:pPr>
    </w:p>
    <w:p w14:paraId="7A0FD361" w14:textId="77777777" w:rsidR="004D22CB" w:rsidRDefault="004D22CB" w:rsidP="00187127">
      <w:pPr>
        <w:pStyle w:val="Ttulo2"/>
        <w:keepNext/>
        <w:keepLines/>
        <w:widowControl/>
        <w:numPr>
          <w:ilvl w:val="1"/>
          <w:numId w:val="8"/>
        </w:numPr>
        <w:autoSpaceDE/>
        <w:autoSpaceDN/>
        <w:spacing w:before="120"/>
        <w:jc w:val="both"/>
        <w:rPr>
          <w:rFonts w:ascii="Open Sans" w:hAnsi="Open Sans" w:cs="Open Sans"/>
          <w:color w:val="000000" w:themeColor="text1"/>
        </w:rPr>
      </w:pPr>
      <w:r w:rsidRPr="00C37EF4">
        <w:rPr>
          <w:rFonts w:ascii="Open Sans" w:hAnsi="Open Sans" w:cs="Open Sans"/>
          <w:color w:val="000000" w:themeColor="text1"/>
        </w:rPr>
        <w:t>ANÁLISIS DE MADUREZ DEL SGSI</w:t>
      </w:r>
      <w:r>
        <w:rPr>
          <w:rFonts w:ascii="Open Sans" w:hAnsi="Open Sans" w:cs="Open Sans"/>
          <w:color w:val="000000" w:themeColor="text1"/>
        </w:rPr>
        <w:t xml:space="preserve"> 201</w:t>
      </w:r>
      <w:r w:rsidR="00A94D11">
        <w:rPr>
          <w:rFonts w:ascii="Open Sans" w:hAnsi="Open Sans" w:cs="Open Sans"/>
          <w:color w:val="000000" w:themeColor="text1"/>
        </w:rPr>
        <w:t>9</w:t>
      </w:r>
    </w:p>
    <w:p w14:paraId="4C2D20A1" w14:textId="77777777" w:rsidR="004D22CB" w:rsidRPr="00047F99" w:rsidRDefault="004D22CB" w:rsidP="004D22CB"/>
    <w:p w14:paraId="7A49AC02" w14:textId="77777777" w:rsidR="004D22CB" w:rsidRPr="00C37EF4" w:rsidRDefault="004D22CB" w:rsidP="004D22CB">
      <w:pPr>
        <w:rPr>
          <w:rFonts w:ascii="Open Sans" w:hAnsi="Open Sans" w:cs="Open Sans"/>
          <w:color w:val="000000" w:themeColor="text1"/>
          <w:szCs w:val="24"/>
        </w:rPr>
      </w:pPr>
      <w:r w:rsidRPr="00C37EF4">
        <w:rPr>
          <w:rFonts w:ascii="Open Sans" w:hAnsi="Open Sans" w:cs="Open Sans"/>
          <w:color w:val="000000" w:themeColor="text1"/>
          <w:szCs w:val="24"/>
        </w:rPr>
        <w:t xml:space="preserve">A continuación, se presenta el nivel de madurez identificado para cada una de las cláusulas obligatorias </w:t>
      </w:r>
      <w:r>
        <w:rPr>
          <w:rFonts w:ascii="Open Sans" w:hAnsi="Open Sans" w:cs="Open Sans"/>
          <w:color w:val="000000" w:themeColor="text1"/>
          <w:szCs w:val="24"/>
        </w:rPr>
        <w:t>del estándar</w:t>
      </w:r>
      <w:r w:rsidRPr="00C37EF4">
        <w:rPr>
          <w:rFonts w:ascii="Open Sans" w:hAnsi="Open Sans" w:cs="Open Sans"/>
          <w:color w:val="000000" w:themeColor="text1"/>
          <w:szCs w:val="24"/>
        </w:rPr>
        <w:t xml:space="preserve"> ISO/IEC 27001:2013, frente al nivel de Madurez esp</w:t>
      </w:r>
      <w:r>
        <w:rPr>
          <w:rFonts w:ascii="Open Sans" w:hAnsi="Open Sans" w:cs="Open Sans"/>
          <w:color w:val="000000" w:themeColor="text1"/>
          <w:szCs w:val="24"/>
        </w:rPr>
        <w:t>erado para el año 2018</w:t>
      </w:r>
      <w:r w:rsidRPr="00C37EF4">
        <w:rPr>
          <w:rFonts w:ascii="Open Sans" w:hAnsi="Open Sans" w:cs="Open Sans"/>
          <w:color w:val="000000" w:themeColor="text1"/>
          <w:szCs w:val="24"/>
        </w:rPr>
        <w:t xml:space="preserve"> </w:t>
      </w:r>
      <w:r>
        <w:rPr>
          <w:rFonts w:ascii="Open Sans" w:hAnsi="Open Sans" w:cs="Open Sans"/>
          <w:color w:val="000000" w:themeColor="text1"/>
          <w:szCs w:val="24"/>
        </w:rPr>
        <w:t>de</w:t>
      </w:r>
      <w:r w:rsidRPr="00C37EF4">
        <w:rPr>
          <w:rFonts w:ascii="Open Sans" w:hAnsi="Open Sans" w:cs="Open Sans"/>
          <w:color w:val="000000" w:themeColor="text1"/>
          <w:szCs w:val="24"/>
        </w:rPr>
        <w:t xml:space="preserve"> la entidad.</w:t>
      </w:r>
    </w:p>
    <w:tbl>
      <w:tblPr>
        <w:tblW w:w="6800" w:type="dxa"/>
        <w:jc w:val="center"/>
        <w:tblCellMar>
          <w:left w:w="70" w:type="dxa"/>
          <w:right w:w="70" w:type="dxa"/>
        </w:tblCellMar>
        <w:tblLook w:val="04A0" w:firstRow="1" w:lastRow="0" w:firstColumn="1" w:lastColumn="0" w:noHBand="0" w:noVBand="1"/>
      </w:tblPr>
      <w:tblGrid>
        <w:gridCol w:w="3080"/>
        <w:gridCol w:w="1740"/>
        <w:gridCol w:w="1980"/>
      </w:tblGrid>
      <w:tr w:rsidR="004D22CB" w:rsidRPr="00D9359B" w14:paraId="67CA8EE8" w14:textId="77777777" w:rsidTr="00696E45">
        <w:trPr>
          <w:trHeight w:val="300"/>
          <w:jc w:val="center"/>
        </w:trPr>
        <w:tc>
          <w:tcPr>
            <w:tcW w:w="3080" w:type="dxa"/>
            <w:tcBorders>
              <w:top w:val="nil"/>
              <w:left w:val="nil"/>
              <w:bottom w:val="nil"/>
              <w:right w:val="nil"/>
            </w:tcBorders>
            <w:shd w:val="clear" w:color="auto" w:fill="auto"/>
            <w:vAlign w:val="center"/>
            <w:hideMark/>
          </w:tcPr>
          <w:p w14:paraId="7758BBAA" w14:textId="77777777" w:rsidR="004D22CB" w:rsidRPr="00D9359B" w:rsidRDefault="004D22CB" w:rsidP="00696E45">
            <w:pPr>
              <w:rPr>
                <w:rFonts w:ascii="Times New Roman" w:eastAsia="Times New Roman" w:hAnsi="Times New Roman" w:cs="Times New Roman"/>
                <w:sz w:val="24"/>
                <w:szCs w:val="24"/>
                <w:lang w:val="es-CO" w:eastAsia="es-CO"/>
              </w:rPr>
            </w:pPr>
          </w:p>
        </w:tc>
        <w:tc>
          <w:tcPr>
            <w:tcW w:w="372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22245B2D" w14:textId="77777777" w:rsidR="004D22CB" w:rsidRPr="00D9359B" w:rsidRDefault="004D22CB" w:rsidP="00696E45">
            <w:pPr>
              <w:jc w:val="center"/>
              <w:rPr>
                <w:rFonts w:ascii="Calibri" w:eastAsia="Times New Roman" w:hAnsi="Calibri" w:cs="Calibri"/>
                <w:b/>
                <w:bCs/>
                <w:color w:val="000000"/>
                <w:lang w:val="es-CO" w:eastAsia="es-CO"/>
              </w:rPr>
            </w:pPr>
            <w:r w:rsidRPr="00D9359B">
              <w:rPr>
                <w:rFonts w:ascii="Calibri" w:eastAsia="Times New Roman" w:hAnsi="Calibri" w:cs="Calibri"/>
                <w:b/>
                <w:bCs/>
                <w:color w:val="000000"/>
                <w:lang w:val="es-CO" w:eastAsia="es-CO"/>
              </w:rPr>
              <w:t>Nivel de Madurez</w:t>
            </w:r>
          </w:p>
        </w:tc>
      </w:tr>
      <w:tr w:rsidR="004D22CB" w:rsidRPr="00D9359B" w14:paraId="007A8956" w14:textId="77777777" w:rsidTr="00696E45">
        <w:trPr>
          <w:trHeight w:val="300"/>
          <w:jc w:val="center"/>
        </w:trPr>
        <w:tc>
          <w:tcPr>
            <w:tcW w:w="3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0D95802" w14:textId="77777777" w:rsidR="004D22CB" w:rsidRPr="00D9359B" w:rsidRDefault="004D22CB" w:rsidP="00696E45">
            <w:pPr>
              <w:rPr>
                <w:rFonts w:ascii="Calibri" w:eastAsia="Times New Roman" w:hAnsi="Calibri" w:cs="Calibri"/>
                <w:b/>
                <w:bCs/>
                <w:color w:val="000000"/>
                <w:sz w:val="20"/>
                <w:szCs w:val="20"/>
                <w:lang w:val="es-CO" w:eastAsia="es-CO"/>
              </w:rPr>
            </w:pPr>
            <w:r w:rsidRPr="00D9359B">
              <w:rPr>
                <w:rFonts w:ascii="Calibri" w:eastAsia="Times New Roman" w:hAnsi="Calibri" w:cs="Calibri"/>
                <w:b/>
                <w:bCs/>
                <w:color w:val="000000"/>
                <w:sz w:val="20"/>
                <w:szCs w:val="20"/>
                <w:lang w:val="es-CO" w:eastAsia="es-CO"/>
              </w:rPr>
              <w:t>REQUERIMIENTOS - SGSI</w:t>
            </w:r>
          </w:p>
        </w:tc>
        <w:tc>
          <w:tcPr>
            <w:tcW w:w="1740" w:type="dxa"/>
            <w:tcBorders>
              <w:top w:val="nil"/>
              <w:left w:val="nil"/>
              <w:bottom w:val="single" w:sz="4" w:space="0" w:color="auto"/>
              <w:right w:val="single" w:sz="4" w:space="0" w:color="auto"/>
            </w:tcBorders>
            <w:shd w:val="clear" w:color="000000" w:fill="D9D9D9"/>
            <w:vAlign w:val="center"/>
            <w:hideMark/>
          </w:tcPr>
          <w:p w14:paraId="0D123CFD" w14:textId="77777777" w:rsidR="004D22CB" w:rsidRPr="00D9359B" w:rsidRDefault="004D22CB" w:rsidP="00696E45">
            <w:pPr>
              <w:jc w:val="center"/>
              <w:rPr>
                <w:rFonts w:ascii="Calibri" w:eastAsia="Times New Roman" w:hAnsi="Calibri" w:cs="Calibri"/>
                <w:b/>
                <w:bCs/>
                <w:color w:val="000000"/>
                <w:lang w:val="es-CO" w:eastAsia="es-CO"/>
              </w:rPr>
            </w:pPr>
            <w:r w:rsidRPr="00D9359B">
              <w:rPr>
                <w:rFonts w:ascii="Calibri" w:eastAsia="Times New Roman" w:hAnsi="Calibri" w:cs="Calibri"/>
                <w:b/>
                <w:bCs/>
                <w:color w:val="000000"/>
                <w:lang w:val="es-CO" w:eastAsia="es-CO"/>
              </w:rPr>
              <w:t>Nivel Actual</w:t>
            </w:r>
          </w:p>
        </w:tc>
        <w:tc>
          <w:tcPr>
            <w:tcW w:w="1980" w:type="dxa"/>
            <w:tcBorders>
              <w:top w:val="nil"/>
              <w:left w:val="nil"/>
              <w:bottom w:val="single" w:sz="4" w:space="0" w:color="auto"/>
              <w:right w:val="single" w:sz="4" w:space="0" w:color="auto"/>
            </w:tcBorders>
            <w:shd w:val="clear" w:color="000000" w:fill="D9D9D9"/>
            <w:vAlign w:val="center"/>
            <w:hideMark/>
          </w:tcPr>
          <w:p w14:paraId="0FBA7DD8" w14:textId="77777777" w:rsidR="004D22CB" w:rsidRPr="00D9359B" w:rsidRDefault="004D22CB" w:rsidP="00696E45">
            <w:pPr>
              <w:jc w:val="center"/>
              <w:rPr>
                <w:rFonts w:ascii="Calibri" w:eastAsia="Times New Roman" w:hAnsi="Calibri" w:cs="Calibri"/>
                <w:b/>
                <w:bCs/>
                <w:color w:val="000000"/>
                <w:lang w:val="es-CO" w:eastAsia="es-CO"/>
              </w:rPr>
            </w:pPr>
            <w:r w:rsidRPr="00D9359B">
              <w:rPr>
                <w:rFonts w:ascii="Calibri" w:eastAsia="Times New Roman" w:hAnsi="Calibri" w:cs="Calibri"/>
                <w:b/>
                <w:bCs/>
                <w:color w:val="000000"/>
                <w:lang w:val="es-CO" w:eastAsia="es-CO"/>
              </w:rPr>
              <w:t>Nivel Deseado</w:t>
            </w:r>
          </w:p>
        </w:tc>
      </w:tr>
      <w:tr w:rsidR="00A94D11" w:rsidRPr="00D9359B" w14:paraId="4D691F12" w14:textId="77777777" w:rsidTr="00696E45">
        <w:trPr>
          <w:trHeight w:val="300"/>
          <w:jc w:val="center"/>
        </w:trPr>
        <w:tc>
          <w:tcPr>
            <w:tcW w:w="3080" w:type="dxa"/>
            <w:tcBorders>
              <w:top w:val="nil"/>
              <w:left w:val="single" w:sz="4" w:space="0" w:color="auto"/>
              <w:bottom w:val="single" w:sz="4" w:space="0" w:color="auto"/>
              <w:right w:val="single" w:sz="4" w:space="0" w:color="auto"/>
            </w:tcBorders>
            <w:shd w:val="clear" w:color="auto" w:fill="auto"/>
            <w:vAlign w:val="center"/>
            <w:hideMark/>
          </w:tcPr>
          <w:p w14:paraId="77F34EC1" w14:textId="77777777" w:rsidR="00A94D11" w:rsidRDefault="00A94D11" w:rsidP="00A94D11">
            <w:pPr>
              <w:rPr>
                <w:rFonts w:ascii="Calibri" w:eastAsia="Times New Roman" w:hAnsi="Calibri" w:cs="Calibri"/>
                <w:color w:val="000000"/>
                <w:sz w:val="20"/>
                <w:szCs w:val="20"/>
                <w:lang w:val="es-CO"/>
              </w:rPr>
            </w:pPr>
            <w:r>
              <w:rPr>
                <w:rFonts w:ascii="Calibri" w:hAnsi="Calibri" w:cs="Calibri"/>
                <w:color w:val="000000"/>
                <w:sz w:val="20"/>
                <w:szCs w:val="20"/>
              </w:rPr>
              <w:t>CONTEXTO DE LA ORGANIZACIÓN</w:t>
            </w:r>
          </w:p>
        </w:tc>
        <w:tc>
          <w:tcPr>
            <w:tcW w:w="1740" w:type="dxa"/>
            <w:tcBorders>
              <w:top w:val="nil"/>
              <w:left w:val="nil"/>
              <w:bottom w:val="single" w:sz="4" w:space="0" w:color="auto"/>
              <w:right w:val="single" w:sz="4" w:space="0" w:color="auto"/>
            </w:tcBorders>
            <w:shd w:val="clear" w:color="auto" w:fill="auto"/>
            <w:vAlign w:val="center"/>
            <w:hideMark/>
          </w:tcPr>
          <w:p w14:paraId="4C2129E4" w14:textId="77777777" w:rsidR="00A94D11" w:rsidRDefault="00A94D11" w:rsidP="00A94D11">
            <w:pPr>
              <w:jc w:val="center"/>
              <w:rPr>
                <w:rFonts w:ascii="Calibri" w:hAnsi="Calibri" w:cs="Calibri"/>
                <w:color w:val="000000"/>
                <w:sz w:val="20"/>
                <w:szCs w:val="20"/>
              </w:rPr>
            </w:pPr>
            <w:r>
              <w:rPr>
                <w:rFonts w:ascii="Calibri" w:hAnsi="Calibri" w:cs="Calibri"/>
                <w:color w:val="000000"/>
                <w:sz w:val="20"/>
                <w:szCs w:val="20"/>
              </w:rPr>
              <w:t>43%</w:t>
            </w:r>
          </w:p>
        </w:tc>
        <w:tc>
          <w:tcPr>
            <w:tcW w:w="1980" w:type="dxa"/>
            <w:tcBorders>
              <w:top w:val="nil"/>
              <w:left w:val="nil"/>
              <w:bottom w:val="single" w:sz="4" w:space="0" w:color="auto"/>
              <w:right w:val="single" w:sz="4" w:space="0" w:color="auto"/>
            </w:tcBorders>
            <w:shd w:val="clear" w:color="auto" w:fill="auto"/>
            <w:vAlign w:val="center"/>
            <w:hideMark/>
          </w:tcPr>
          <w:p w14:paraId="2F50E4E0" w14:textId="77777777" w:rsidR="00A94D11" w:rsidRDefault="00A94D11" w:rsidP="00A94D11">
            <w:pPr>
              <w:jc w:val="center"/>
              <w:rPr>
                <w:rFonts w:ascii="Calibri" w:hAnsi="Calibri" w:cs="Calibri"/>
                <w:color w:val="000000"/>
                <w:sz w:val="20"/>
                <w:szCs w:val="20"/>
              </w:rPr>
            </w:pPr>
            <w:r>
              <w:rPr>
                <w:rFonts w:ascii="Calibri" w:hAnsi="Calibri" w:cs="Calibri"/>
                <w:color w:val="000000"/>
                <w:sz w:val="20"/>
                <w:szCs w:val="20"/>
              </w:rPr>
              <w:t>100%</w:t>
            </w:r>
          </w:p>
        </w:tc>
      </w:tr>
      <w:tr w:rsidR="00A94D11" w:rsidRPr="00D9359B" w14:paraId="3A87224D" w14:textId="77777777" w:rsidTr="00696E45">
        <w:trPr>
          <w:trHeight w:val="300"/>
          <w:jc w:val="center"/>
        </w:trPr>
        <w:tc>
          <w:tcPr>
            <w:tcW w:w="3080" w:type="dxa"/>
            <w:tcBorders>
              <w:top w:val="nil"/>
              <w:left w:val="single" w:sz="4" w:space="0" w:color="auto"/>
              <w:bottom w:val="single" w:sz="4" w:space="0" w:color="auto"/>
              <w:right w:val="single" w:sz="4" w:space="0" w:color="auto"/>
            </w:tcBorders>
            <w:shd w:val="clear" w:color="auto" w:fill="auto"/>
            <w:vAlign w:val="center"/>
            <w:hideMark/>
          </w:tcPr>
          <w:p w14:paraId="54D9CA22" w14:textId="77777777" w:rsidR="00A94D11" w:rsidRDefault="00A94D11" w:rsidP="00A94D11">
            <w:pPr>
              <w:rPr>
                <w:rFonts w:ascii="Calibri" w:hAnsi="Calibri" w:cs="Calibri"/>
                <w:color w:val="000000"/>
                <w:sz w:val="20"/>
                <w:szCs w:val="20"/>
              </w:rPr>
            </w:pPr>
            <w:r>
              <w:rPr>
                <w:rFonts w:ascii="Calibri" w:hAnsi="Calibri" w:cs="Calibri"/>
                <w:color w:val="000000"/>
                <w:sz w:val="20"/>
                <w:szCs w:val="20"/>
              </w:rPr>
              <w:t>LIDERAZGO</w:t>
            </w:r>
          </w:p>
        </w:tc>
        <w:tc>
          <w:tcPr>
            <w:tcW w:w="1740" w:type="dxa"/>
            <w:tcBorders>
              <w:top w:val="nil"/>
              <w:left w:val="nil"/>
              <w:bottom w:val="single" w:sz="4" w:space="0" w:color="auto"/>
              <w:right w:val="single" w:sz="4" w:space="0" w:color="auto"/>
            </w:tcBorders>
            <w:shd w:val="clear" w:color="auto" w:fill="auto"/>
            <w:vAlign w:val="center"/>
            <w:hideMark/>
          </w:tcPr>
          <w:p w14:paraId="422C56F7" w14:textId="77777777" w:rsidR="00A94D11" w:rsidRDefault="00A94D11" w:rsidP="00A94D11">
            <w:pPr>
              <w:jc w:val="center"/>
              <w:rPr>
                <w:rFonts w:ascii="Calibri" w:hAnsi="Calibri" w:cs="Calibri"/>
                <w:color w:val="000000"/>
                <w:sz w:val="20"/>
                <w:szCs w:val="20"/>
              </w:rPr>
            </w:pPr>
            <w:r>
              <w:rPr>
                <w:rFonts w:ascii="Calibri" w:hAnsi="Calibri" w:cs="Calibri"/>
                <w:color w:val="000000"/>
                <w:sz w:val="20"/>
                <w:szCs w:val="20"/>
              </w:rPr>
              <w:t>76%</w:t>
            </w:r>
          </w:p>
        </w:tc>
        <w:tc>
          <w:tcPr>
            <w:tcW w:w="1980" w:type="dxa"/>
            <w:tcBorders>
              <w:top w:val="nil"/>
              <w:left w:val="nil"/>
              <w:bottom w:val="single" w:sz="4" w:space="0" w:color="auto"/>
              <w:right w:val="single" w:sz="4" w:space="0" w:color="auto"/>
            </w:tcBorders>
            <w:shd w:val="clear" w:color="auto" w:fill="auto"/>
            <w:vAlign w:val="center"/>
            <w:hideMark/>
          </w:tcPr>
          <w:p w14:paraId="3A1108B0" w14:textId="77777777" w:rsidR="00A94D11" w:rsidRDefault="00A94D11" w:rsidP="00A94D11">
            <w:pPr>
              <w:jc w:val="center"/>
              <w:rPr>
                <w:rFonts w:ascii="Calibri" w:hAnsi="Calibri" w:cs="Calibri"/>
                <w:color w:val="000000"/>
                <w:sz w:val="20"/>
                <w:szCs w:val="20"/>
              </w:rPr>
            </w:pPr>
            <w:r>
              <w:rPr>
                <w:rFonts w:ascii="Calibri" w:hAnsi="Calibri" w:cs="Calibri"/>
                <w:color w:val="000000"/>
                <w:sz w:val="20"/>
                <w:szCs w:val="20"/>
              </w:rPr>
              <w:t>100%</w:t>
            </w:r>
          </w:p>
        </w:tc>
      </w:tr>
      <w:tr w:rsidR="00A94D11" w:rsidRPr="00D9359B" w14:paraId="3A03D6BF" w14:textId="77777777" w:rsidTr="00696E45">
        <w:trPr>
          <w:trHeight w:val="300"/>
          <w:jc w:val="center"/>
        </w:trPr>
        <w:tc>
          <w:tcPr>
            <w:tcW w:w="3080" w:type="dxa"/>
            <w:tcBorders>
              <w:top w:val="nil"/>
              <w:left w:val="single" w:sz="4" w:space="0" w:color="auto"/>
              <w:bottom w:val="single" w:sz="4" w:space="0" w:color="auto"/>
              <w:right w:val="single" w:sz="4" w:space="0" w:color="auto"/>
            </w:tcBorders>
            <w:shd w:val="clear" w:color="auto" w:fill="auto"/>
            <w:vAlign w:val="center"/>
            <w:hideMark/>
          </w:tcPr>
          <w:p w14:paraId="6D3BC00F" w14:textId="77777777" w:rsidR="00A94D11" w:rsidRDefault="00A94D11" w:rsidP="00A94D11">
            <w:pPr>
              <w:rPr>
                <w:rFonts w:ascii="Calibri" w:hAnsi="Calibri" w:cs="Calibri"/>
                <w:color w:val="000000"/>
                <w:sz w:val="20"/>
                <w:szCs w:val="20"/>
              </w:rPr>
            </w:pPr>
            <w:r>
              <w:rPr>
                <w:rFonts w:ascii="Calibri" w:hAnsi="Calibri" w:cs="Calibri"/>
                <w:color w:val="000000"/>
                <w:sz w:val="20"/>
                <w:szCs w:val="20"/>
              </w:rPr>
              <w:t>PLANIFICACIÓN</w:t>
            </w:r>
          </w:p>
        </w:tc>
        <w:tc>
          <w:tcPr>
            <w:tcW w:w="1740" w:type="dxa"/>
            <w:tcBorders>
              <w:top w:val="nil"/>
              <w:left w:val="nil"/>
              <w:bottom w:val="single" w:sz="4" w:space="0" w:color="auto"/>
              <w:right w:val="single" w:sz="4" w:space="0" w:color="auto"/>
            </w:tcBorders>
            <w:shd w:val="clear" w:color="auto" w:fill="auto"/>
            <w:vAlign w:val="center"/>
            <w:hideMark/>
          </w:tcPr>
          <w:p w14:paraId="2843E25B" w14:textId="77777777" w:rsidR="00A94D11" w:rsidRDefault="00A94D11" w:rsidP="00A94D11">
            <w:pPr>
              <w:jc w:val="center"/>
              <w:rPr>
                <w:rFonts w:ascii="Calibri" w:hAnsi="Calibri" w:cs="Calibri"/>
                <w:color w:val="000000"/>
                <w:sz w:val="20"/>
                <w:szCs w:val="20"/>
              </w:rPr>
            </w:pPr>
            <w:r>
              <w:rPr>
                <w:rFonts w:ascii="Calibri" w:hAnsi="Calibri" w:cs="Calibri"/>
                <w:color w:val="000000"/>
                <w:sz w:val="20"/>
                <w:szCs w:val="20"/>
              </w:rPr>
              <w:t>70%</w:t>
            </w:r>
          </w:p>
        </w:tc>
        <w:tc>
          <w:tcPr>
            <w:tcW w:w="1980" w:type="dxa"/>
            <w:tcBorders>
              <w:top w:val="nil"/>
              <w:left w:val="nil"/>
              <w:bottom w:val="single" w:sz="4" w:space="0" w:color="auto"/>
              <w:right w:val="single" w:sz="4" w:space="0" w:color="auto"/>
            </w:tcBorders>
            <w:shd w:val="clear" w:color="auto" w:fill="auto"/>
            <w:vAlign w:val="center"/>
            <w:hideMark/>
          </w:tcPr>
          <w:p w14:paraId="4F4F8DE8" w14:textId="77777777" w:rsidR="00A94D11" w:rsidRDefault="00A94D11" w:rsidP="00A94D11">
            <w:pPr>
              <w:jc w:val="center"/>
              <w:rPr>
                <w:rFonts w:ascii="Calibri" w:hAnsi="Calibri" w:cs="Calibri"/>
                <w:color w:val="000000"/>
                <w:sz w:val="20"/>
                <w:szCs w:val="20"/>
              </w:rPr>
            </w:pPr>
            <w:r>
              <w:rPr>
                <w:rFonts w:ascii="Calibri" w:hAnsi="Calibri" w:cs="Calibri"/>
                <w:color w:val="000000"/>
                <w:sz w:val="20"/>
                <w:szCs w:val="20"/>
              </w:rPr>
              <w:t>100%</w:t>
            </w:r>
          </w:p>
        </w:tc>
      </w:tr>
      <w:tr w:rsidR="00A94D11" w:rsidRPr="00D9359B" w14:paraId="43403329" w14:textId="77777777" w:rsidTr="00696E45">
        <w:trPr>
          <w:trHeight w:val="300"/>
          <w:jc w:val="center"/>
        </w:trPr>
        <w:tc>
          <w:tcPr>
            <w:tcW w:w="3080" w:type="dxa"/>
            <w:tcBorders>
              <w:top w:val="nil"/>
              <w:left w:val="single" w:sz="4" w:space="0" w:color="auto"/>
              <w:bottom w:val="single" w:sz="4" w:space="0" w:color="auto"/>
              <w:right w:val="single" w:sz="4" w:space="0" w:color="auto"/>
            </w:tcBorders>
            <w:shd w:val="clear" w:color="auto" w:fill="auto"/>
            <w:vAlign w:val="center"/>
            <w:hideMark/>
          </w:tcPr>
          <w:p w14:paraId="40523295" w14:textId="77777777" w:rsidR="00A94D11" w:rsidRDefault="00A94D11" w:rsidP="00A94D11">
            <w:pPr>
              <w:rPr>
                <w:rFonts w:ascii="Calibri" w:hAnsi="Calibri" w:cs="Calibri"/>
                <w:color w:val="000000"/>
                <w:sz w:val="20"/>
                <w:szCs w:val="20"/>
              </w:rPr>
            </w:pPr>
            <w:r>
              <w:rPr>
                <w:rFonts w:ascii="Calibri" w:hAnsi="Calibri" w:cs="Calibri"/>
                <w:color w:val="000000"/>
                <w:sz w:val="20"/>
                <w:szCs w:val="20"/>
              </w:rPr>
              <w:t>SOPORTE</w:t>
            </w:r>
          </w:p>
        </w:tc>
        <w:tc>
          <w:tcPr>
            <w:tcW w:w="1740" w:type="dxa"/>
            <w:tcBorders>
              <w:top w:val="nil"/>
              <w:left w:val="nil"/>
              <w:bottom w:val="single" w:sz="4" w:space="0" w:color="auto"/>
              <w:right w:val="single" w:sz="4" w:space="0" w:color="auto"/>
            </w:tcBorders>
            <w:shd w:val="clear" w:color="auto" w:fill="auto"/>
            <w:vAlign w:val="center"/>
            <w:hideMark/>
          </w:tcPr>
          <w:p w14:paraId="2C6B45C3" w14:textId="77777777" w:rsidR="00A94D11" w:rsidRDefault="00A94D11" w:rsidP="00A94D11">
            <w:pPr>
              <w:jc w:val="center"/>
              <w:rPr>
                <w:rFonts w:ascii="Calibri" w:hAnsi="Calibri" w:cs="Calibri"/>
                <w:color w:val="000000"/>
                <w:sz w:val="20"/>
                <w:szCs w:val="20"/>
              </w:rPr>
            </w:pPr>
            <w:r>
              <w:rPr>
                <w:rFonts w:ascii="Calibri" w:hAnsi="Calibri" w:cs="Calibri"/>
                <w:color w:val="000000"/>
                <w:sz w:val="20"/>
                <w:szCs w:val="20"/>
              </w:rPr>
              <w:t>46%</w:t>
            </w:r>
          </w:p>
        </w:tc>
        <w:tc>
          <w:tcPr>
            <w:tcW w:w="1980" w:type="dxa"/>
            <w:tcBorders>
              <w:top w:val="nil"/>
              <w:left w:val="nil"/>
              <w:bottom w:val="single" w:sz="4" w:space="0" w:color="auto"/>
              <w:right w:val="single" w:sz="4" w:space="0" w:color="auto"/>
            </w:tcBorders>
            <w:shd w:val="clear" w:color="auto" w:fill="auto"/>
            <w:vAlign w:val="center"/>
            <w:hideMark/>
          </w:tcPr>
          <w:p w14:paraId="2A601632" w14:textId="77777777" w:rsidR="00A94D11" w:rsidRDefault="00A94D11" w:rsidP="00A94D11">
            <w:pPr>
              <w:jc w:val="center"/>
              <w:rPr>
                <w:rFonts w:ascii="Calibri" w:hAnsi="Calibri" w:cs="Calibri"/>
                <w:color w:val="000000"/>
                <w:sz w:val="20"/>
                <w:szCs w:val="20"/>
              </w:rPr>
            </w:pPr>
            <w:r>
              <w:rPr>
                <w:rFonts w:ascii="Calibri" w:hAnsi="Calibri" w:cs="Calibri"/>
                <w:color w:val="000000"/>
                <w:sz w:val="20"/>
                <w:szCs w:val="20"/>
              </w:rPr>
              <w:t>100%</w:t>
            </w:r>
          </w:p>
        </w:tc>
      </w:tr>
      <w:tr w:rsidR="00A94D11" w:rsidRPr="00D9359B" w14:paraId="38EDB9EF" w14:textId="77777777" w:rsidTr="00696E45">
        <w:trPr>
          <w:trHeight w:val="300"/>
          <w:jc w:val="center"/>
        </w:trPr>
        <w:tc>
          <w:tcPr>
            <w:tcW w:w="3080" w:type="dxa"/>
            <w:tcBorders>
              <w:top w:val="nil"/>
              <w:left w:val="single" w:sz="4" w:space="0" w:color="auto"/>
              <w:bottom w:val="single" w:sz="4" w:space="0" w:color="auto"/>
              <w:right w:val="single" w:sz="4" w:space="0" w:color="auto"/>
            </w:tcBorders>
            <w:shd w:val="clear" w:color="auto" w:fill="auto"/>
            <w:vAlign w:val="center"/>
            <w:hideMark/>
          </w:tcPr>
          <w:p w14:paraId="10F7922D" w14:textId="77777777" w:rsidR="00A94D11" w:rsidRDefault="00A94D11" w:rsidP="00A94D11">
            <w:pPr>
              <w:rPr>
                <w:rFonts w:ascii="Calibri" w:hAnsi="Calibri" w:cs="Calibri"/>
                <w:color w:val="000000"/>
                <w:sz w:val="20"/>
                <w:szCs w:val="20"/>
              </w:rPr>
            </w:pPr>
            <w:r>
              <w:rPr>
                <w:rFonts w:ascii="Calibri" w:hAnsi="Calibri" w:cs="Calibri"/>
                <w:color w:val="000000"/>
                <w:sz w:val="20"/>
                <w:szCs w:val="20"/>
              </w:rPr>
              <w:t>OPERACIÓN</w:t>
            </w:r>
          </w:p>
        </w:tc>
        <w:tc>
          <w:tcPr>
            <w:tcW w:w="1740" w:type="dxa"/>
            <w:tcBorders>
              <w:top w:val="nil"/>
              <w:left w:val="nil"/>
              <w:bottom w:val="single" w:sz="4" w:space="0" w:color="auto"/>
              <w:right w:val="single" w:sz="4" w:space="0" w:color="auto"/>
            </w:tcBorders>
            <w:shd w:val="clear" w:color="auto" w:fill="auto"/>
            <w:vAlign w:val="center"/>
            <w:hideMark/>
          </w:tcPr>
          <w:p w14:paraId="04AF7981" w14:textId="77777777" w:rsidR="00A94D11" w:rsidRDefault="00A94D11" w:rsidP="00A94D11">
            <w:pPr>
              <w:jc w:val="center"/>
              <w:rPr>
                <w:rFonts w:ascii="Calibri" w:hAnsi="Calibri" w:cs="Calibri"/>
                <w:color w:val="000000"/>
                <w:sz w:val="20"/>
                <w:szCs w:val="20"/>
              </w:rPr>
            </w:pPr>
            <w:r>
              <w:rPr>
                <w:rFonts w:ascii="Calibri" w:hAnsi="Calibri" w:cs="Calibri"/>
                <w:color w:val="000000"/>
                <w:sz w:val="20"/>
                <w:szCs w:val="20"/>
              </w:rPr>
              <w:t>47%</w:t>
            </w:r>
          </w:p>
        </w:tc>
        <w:tc>
          <w:tcPr>
            <w:tcW w:w="1980" w:type="dxa"/>
            <w:tcBorders>
              <w:top w:val="nil"/>
              <w:left w:val="nil"/>
              <w:bottom w:val="single" w:sz="4" w:space="0" w:color="auto"/>
              <w:right w:val="single" w:sz="4" w:space="0" w:color="auto"/>
            </w:tcBorders>
            <w:shd w:val="clear" w:color="auto" w:fill="auto"/>
            <w:vAlign w:val="center"/>
            <w:hideMark/>
          </w:tcPr>
          <w:p w14:paraId="5AD50355" w14:textId="77777777" w:rsidR="00A94D11" w:rsidRDefault="00A94D11" w:rsidP="00A94D11">
            <w:pPr>
              <w:jc w:val="center"/>
              <w:rPr>
                <w:rFonts w:ascii="Calibri" w:hAnsi="Calibri" w:cs="Calibri"/>
                <w:color w:val="000000"/>
                <w:sz w:val="20"/>
                <w:szCs w:val="20"/>
              </w:rPr>
            </w:pPr>
            <w:r>
              <w:rPr>
                <w:rFonts w:ascii="Calibri" w:hAnsi="Calibri" w:cs="Calibri"/>
                <w:color w:val="000000"/>
                <w:sz w:val="20"/>
                <w:szCs w:val="20"/>
              </w:rPr>
              <w:t>100%</w:t>
            </w:r>
          </w:p>
        </w:tc>
      </w:tr>
      <w:tr w:rsidR="00A94D11" w:rsidRPr="00D9359B" w14:paraId="46AD4B23" w14:textId="77777777" w:rsidTr="00696E45">
        <w:trPr>
          <w:trHeight w:val="300"/>
          <w:jc w:val="center"/>
        </w:trPr>
        <w:tc>
          <w:tcPr>
            <w:tcW w:w="3080" w:type="dxa"/>
            <w:tcBorders>
              <w:top w:val="nil"/>
              <w:left w:val="single" w:sz="4" w:space="0" w:color="auto"/>
              <w:bottom w:val="single" w:sz="4" w:space="0" w:color="auto"/>
              <w:right w:val="single" w:sz="4" w:space="0" w:color="auto"/>
            </w:tcBorders>
            <w:shd w:val="clear" w:color="auto" w:fill="auto"/>
            <w:vAlign w:val="center"/>
            <w:hideMark/>
          </w:tcPr>
          <w:p w14:paraId="1302C870" w14:textId="77777777" w:rsidR="00A94D11" w:rsidRDefault="00A94D11" w:rsidP="00A94D11">
            <w:pPr>
              <w:rPr>
                <w:rFonts w:ascii="Calibri" w:hAnsi="Calibri" w:cs="Calibri"/>
                <w:color w:val="000000"/>
                <w:sz w:val="20"/>
                <w:szCs w:val="20"/>
              </w:rPr>
            </w:pPr>
            <w:r>
              <w:rPr>
                <w:rFonts w:ascii="Calibri" w:hAnsi="Calibri" w:cs="Calibri"/>
                <w:color w:val="000000"/>
                <w:sz w:val="20"/>
                <w:szCs w:val="20"/>
              </w:rPr>
              <w:t>EVALUACIÓN DEL DESEMPEÑO</w:t>
            </w:r>
          </w:p>
        </w:tc>
        <w:tc>
          <w:tcPr>
            <w:tcW w:w="1740" w:type="dxa"/>
            <w:tcBorders>
              <w:top w:val="nil"/>
              <w:left w:val="nil"/>
              <w:bottom w:val="single" w:sz="4" w:space="0" w:color="auto"/>
              <w:right w:val="single" w:sz="4" w:space="0" w:color="auto"/>
            </w:tcBorders>
            <w:shd w:val="clear" w:color="auto" w:fill="auto"/>
            <w:vAlign w:val="center"/>
            <w:hideMark/>
          </w:tcPr>
          <w:p w14:paraId="6CD03685" w14:textId="77777777" w:rsidR="00A94D11" w:rsidRDefault="00A94D11" w:rsidP="00A94D11">
            <w:pPr>
              <w:jc w:val="center"/>
              <w:rPr>
                <w:rFonts w:ascii="Calibri" w:hAnsi="Calibri" w:cs="Calibri"/>
                <w:color w:val="000000"/>
                <w:sz w:val="20"/>
                <w:szCs w:val="20"/>
              </w:rPr>
            </w:pPr>
            <w:r>
              <w:rPr>
                <w:rFonts w:ascii="Calibri" w:hAnsi="Calibri" w:cs="Calibri"/>
                <w:color w:val="000000"/>
                <w:sz w:val="20"/>
                <w:szCs w:val="20"/>
              </w:rPr>
              <w:t>23%</w:t>
            </w:r>
          </w:p>
        </w:tc>
        <w:tc>
          <w:tcPr>
            <w:tcW w:w="1980" w:type="dxa"/>
            <w:tcBorders>
              <w:top w:val="nil"/>
              <w:left w:val="nil"/>
              <w:bottom w:val="single" w:sz="4" w:space="0" w:color="auto"/>
              <w:right w:val="single" w:sz="4" w:space="0" w:color="auto"/>
            </w:tcBorders>
            <w:shd w:val="clear" w:color="auto" w:fill="auto"/>
            <w:vAlign w:val="center"/>
            <w:hideMark/>
          </w:tcPr>
          <w:p w14:paraId="0AC87140" w14:textId="77777777" w:rsidR="00A94D11" w:rsidRDefault="00A94D11" w:rsidP="00A94D11">
            <w:pPr>
              <w:jc w:val="center"/>
              <w:rPr>
                <w:rFonts w:ascii="Calibri" w:hAnsi="Calibri" w:cs="Calibri"/>
                <w:color w:val="000000"/>
                <w:sz w:val="20"/>
                <w:szCs w:val="20"/>
              </w:rPr>
            </w:pPr>
            <w:r>
              <w:rPr>
                <w:rFonts w:ascii="Calibri" w:hAnsi="Calibri" w:cs="Calibri"/>
                <w:color w:val="000000"/>
                <w:sz w:val="20"/>
                <w:szCs w:val="20"/>
              </w:rPr>
              <w:t>100%</w:t>
            </w:r>
          </w:p>
        </w:tc>
      </w:tr>
      <w:tr w:rsidR="00A94D11" w:rsidRPr="00D9359B" w14:paraId="7CD7790D" w14:textId="77777777" w:rsidTr="00696E45">
        <w:trPr>
          <w:trHeight w:val="300"/>
          <w:jc w:val="center"/>
        </w:trPr>
        <w:tc>
          <w:tcPr>
            <w:tcW w:w="3080" w:type="dxa"/>
            <w:tcBorders>
              <w:top w:val="nil"/>
              <w:left w:val="single" w:sz="4" w:space="0" w:color="auto"/>
              <w:bottom w:val="single" w:sz="4" w:space="0" w:color="auto"/>
              <w:right w:val="single" w:sz="4" w:space="0" w:color="auto"/>
            </w:tcBorders>
            <w:shd w:val="clear" w:color="auto" w:fill="auto"/>
            <w:vAlign w:val="center"/>
            <w:hideMark/>
          </w:tcPr>
          <w:p w14:paraId="012861F9" w14:textId="77777777" w:rsidR="00A94D11" w:rsidRDefault="00A94D11" w:rsidP="00A94D11">
            <w:pPr>
              <w:rPr>
                <w:rFonts w:ascii="Calibri" w:hAnsi="Calibri" w:cs="Calibri"/>
                <w:color w:val="000000"/>
                <w:sz w:val="20"/>
                <w:szCs w:val="20"/>
              </w:rPr>
            </w:pPr>
            <w:r>
              <w:rPr>
                <w:rFonts w:ascii="Calibri" w:hAnsi="Calibri" w:cs="Calibri"/>
                <w:color w:val="000000"/>
                <w:sz w:val="20"/>
                <w:szCs w:val="20"/>
              </w:rPr>
              <w:t>MEJORA</w:t>
            </w:r>
          </w:p>
        </w:tc>
        <w:tc>
          <w:tcPr>
            <w:tcW w:w="1740" w:type="dxa"/>
            <w:tcBorders>
              <w:top w:val="nil"/>
              <w:left w:val="nil"/>
              <w:bottom w:val="single" w:sz="4" w:space="0" w:color="auto"/>
              <w:right w:val="single" w:sz="4" w:space="0" w:color="auto"/>
            </w:tcBorders>
            <w:shd w:val="clear" w:color="auto" w:fill="auto"/>
            <w:vAlign w:val="center"/>
            <w:hideMark/>
          </w:tcPr>
          <w:p w14:paraId="05434249" w14:textId="77777777" w:rsidR="00A94D11" w:rsidRDefault="00A94D11" w:rsidP="00A94D11">
            <w:pPr>
              <w:jc w:val="center"/>
              <w:rPr>
                <w:rFonts w:ascii="Calibri" w:hAnsi="Calibri" w:cs="Calibri"/>
                <w:color w:val="000000"/>
                <w:sz w:val="20"/>
                <w:szCs w:val="20"/>
              </w:rPr>
            </w:pPr>
            <w:r>
              <w:rPr>
                <w:rFonts w:ascii="Calibri" w:hAnsi="Calibri" w:cs="Calibri"/>
                <w:color w:val="000000"/>
                <w:sz w:val="20"/>
                <w:szCs w:val="20"/>
              </w:rPr>
              <w:t>0%</w:t>
            </w:r>
          </w:p>
        </w:tc>
        <w:tc>
          <w:tcPr>
            <w:tcW w:w="1980" w:type="dxa"/>
            <w:tcBorders>
              <w:top w:val="nil"/>
              <w:left w:val="nil"/>
              <w:bottom w:val="single" w:sz="4" w:space="0" w:color="auto"/>
              <w:right w:val="single" w:sz="4" w:space="0" w:color="auto"/>
            </w:tcBorders>
            <w:shd w:val="clear" w:color="auto" w:fill="auto"/>
            <w:vAlign w:val="center"/>
            <w:hideMark/>
          </w:tcPr>
          <w:p w14:paraId="0052A02C" w14:textId="77777777" w:rsidR="00A94D11" w:rsidRDefault="00A94D11" w:rsidP="00A94D11">
            <w:pPr>
              <w:jc w:val="center"/>
              <w:rPr>
                <w:rFonts w:ascii="Calibri" w:hAnsi="Calibri" w:cs="Calibri"/>
                <w:color w:val="000000"/>
                <w:sz w:val="20"/>
                <w:szCs w:val="20"/>
              </w:rPr>
            </w:pPr>
            <w:r>
              <w:rPr>
                <w:rFonts w:ascii="Calibri" w:hAnsi="Calibri" w:cs="Calibri"/>
                <w:color w:val="000000"/>
                <w:sz w:val="20"/>
                <w:szCs w:val="20"/>
              </w:rPr>
              <w:t>100%</w:t>
            </w:r>
          </w:p>
        </w:tc>
      </w:tr>
    </w:tbl>
    <w:p w14:paraId="714BEA13" w14:textId="77777777" w:rsidR="004D22CB" w:rsidRPr="006812C9" w:rsidRDefault="004D22CB" w:rsidP="004D22CB"/>
    <w:p w14:paraId="085FC587" w14:textId="77777777" w:rsidR="004D22CB" w:rsidRDefault="004D22CB" w:rsidP="004D22CB">
      <w:pPr>
        <w:pStyle w:val="Descripcin"/>
        <w:jc w:val="center"/>
        <w:rPr>
          <w:rFonts w:cs="Open Sans"/>
          <w:b/>
          <w:color w:val="000000" w:themeColor="text1"/>
          <w:szCs w:val="24"/>
        </w:rPr>
      </w:pPr>
      <w:r w:rsidRPr="00C37EF4">
        <w:rPr>
          <w:rFonts w:cs="Open Sans"/>
          <w:color w:val="000000" w:themeColor="text1"/>
          <w:szCs w:val="24"/>
        </w:rPr>
        <w:t xml:space="preserve">Tabla </w:t>
      </w:r>
      <w:r w:rsidRPr="00C37EF4">
        <w:rPr>
          <w:rFonts w:cs="Open Sans"/>
          <w:b/>
          <w:color w:val="000000" w:themeColor="text1"/>
          <w:szCs w:val="24"/>
        </w:rPr>
        <w:fldChar w:fldCharType="begin"/>
      </w:r>
      <w:r w:rsidRPr="00C37EF4">
        <w:rPr>
          <w:rFonts w:cs="Open Sans"/>
          <w:color w:val="000000" w:themeColor="text1"/>
          <w:szCs w:val="24"/>
        </w:rPr>
        <w:instrText xml:space="preserve"> SEQ Tabla \* ARABIC </w:instrText>
      </w:r>
      <w:r w:rsidRPr="00C37EF4">
        <w:rPr>
          <w:rFonts w:cs="Open Sans"/>
          <w:b/>
          <w:color w:val="000000" w:themeColor="text1"/>
          <w:szCs w:val="24"/>
        </w:rPr>
        <w:fldChar w:fldCharType="separate"/>
      </w:r>
      <w:r>
        <w:rPr>
          <w:rFonts w:cs="Open Sans"/>
          <w:noProof/>
          <w:color w:val="000000" w:themeColor="text1"/>
          <w:szCs w:val="24"/>
        </w:rPr>
        <w:t>6</w:t>
      </w:r>
      <w:r w:rsidRPr="00C37EF4">
        <w:rPr>
          <w:rFonts w:cs="Open Sans"/>
          <w:b/>
          <w:color w:val="000000" w:themeColor="text1"/>
          <w:szCs w:val="24"/>
        </w:rPr>
        <w:fldChar w:fldCharType="end"/>
      </w:r>
      <w:r w:rsidRPr="00C37EF4">
        <w:rPr>
          <w:rFonts w:cs="Open Sans"/>
          <w:color w:val="000000" w:themeColor="text1"/>
          <w:szCs w:val="24"/>
        </w:rPr>
        <w:t xml:space="preserve">. Detalle del Nivel de Madurez de Clausulas ISO/IEC 27001 </w:t>
      </w:r>
      <w:r>
        <w:rPr>
          <w:rFonts w:cs="Open Sans"/>
          <w:color w:val="000000" w:themeColor="text1"/>
          <w:szCs w:val="24"/>
        </w:rPr>
        <w:t>Instituto Nacional de Salud</w:t>
      </w:r>
    </w:p>
    <w:p w14:paraId="5D2991CD" w14:textId="77777777" w:rsidR="004D22CB" w:rsidRDefault="00A94D11" w:rsidP="004D22CB">
      <w:pPr>
        <w:rPr>
          <w:rFonts w:cs="Open Sans"/>
          <w:color w:val="000000" w:themeColor="text1"/>
          <w:szCs w:val="24"/>
        </w:rPr>
      </w:pPr>
      <w:r>
        <w:rPr>
          <w:noProof/>
        </w:rPr>
        <w:drawing>
          <wp:anchor distT="0" distB="0" distL="114300" distR="114300" simplePos="0" relativeHeight="251660288" behindDoc="0" locked="0" layoutInCell="1" allowOverlap="1" wp14:anchorId="4AE18A14" wp14:editId="497B0D3D">
            <wp:simplePos x="0" y="0"/>
            <wp:positionH relativeFrom="column">
              <wp:posOffset>-110490</wp:posOffset>
            </wp:positionH>
            <wp:positionV relativeFrom="paragraph">
              <wp:posOffset>509905</wp:posOffset>
            </wp:positionV>
            <wp:extent cx="6332220" cy="2733675"/>
            <wp:effectExtent l="0" t="0" r="11430" b="9525"/>
            <wp:wrapTopAndBottom/>
            <wp:docPr id="534" name="Gráfico 534">
              <a:extLst xmlns:a="http://schemas.openxmlformats.org/drawingml/2006/main">
                <a:ext uri="{FF2B5EF4-FFF2-40B4-BE49-F238E27FC236}">
                  <a16:creationId xmlns:a16="http://schemas.microsoft.com/office/drawing/2014/main" id="{8EB0C42F-C144-4ECD-81E5-7D147B444B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4D22CB">
        <w:rPr>
          <w:rFonts w:ascii="Open Sans" w:hAnsi="Open Sans" w:cs="Open Sans"/>
          <w:color w:val="000000" w:themeColor="text1"/>
          <w:szCs w:val="24"/>
        </w:rPr>
        <w:t>L</w:t>
      </w:r>
      <w:r w:rsidR="004D22CB" w:rsidRPr="00C37EF4">
        <w:rPr>
          <w:rFonts w:ascii="Open Sans" w:hAnsi="Open Sans" w:cs="Open Sans"/>
          <w:color w:val="000000" w:themeColor="text1"/>
          <w:szCs w:val="24"/>
        </w:rPr>
        <w:t xml:space="preserve">a ilustración </w:t>
      </w:r>
      <w:r w:rsidR="004D22CB">
        <w:rPr>
          <w:rFonts w:ascii="Open Sans" w:hAnsi="Open Sans" w:cs="Open Sans"/>
          <w:color w:val="000000" w:themeColor="text1"/>
          <w:szCs w:val="24"/>
        </w:rPr>
        <w:t>4</w:t>
      </w:r>
      <w:r w:rsidR="004D22CB" w:rsidRPr="00C37EF4">
        <w:rPr>
          <w:rFonts w:ascii="Open Sans" w:hAnsi="Open Sans" w:cs="Open Sans"/>
          <w:color w:val="000000" w:themeColor="text1"/>
          <w:szCs w:val="24"/>
        </w:rPr>
        <w:t xml:space="preserve">, representa el nivel de madurez correspondiente a cada uno de los requisitos mandatorios </w:t>
      </w:r>
      <w:r w:rsidR="004D22CB">
        <w:rPr>
          <w:rFonts w:ascii="Open Sans" w:hAnsi="Open Sans" w:cs="Open Sans"/>
          <w:color w:val="000000" w:themeColor="text1"/>
          <w:szCs w:val="24"/>
        </w:rPr>
        <w:t xml:space="preserve">del estándar ISO/IEC </w:t>
      </w:r>
      <w:proofErr w:type="gramStart"/>
      <w:r w:rsidR="004D22CB">
        <w:rPr>
          <w:rFonts w:ascii="Open Sans" w:hAnsi="Open Sans" w:cs="Open Sans"/>
          <w:color w:val="000000" w:themeColor="text1"/>
          <w:szCs w:val="24"/>
        </w:rPr>
        <w:t>27001:2013.</w:t>
      </w:r>
      <w:r w:rsidR="004D22CB" w:rsidRPr="00C37EF4">
        <w:rPr>
          <w:rFonts w:cs="Open Sans"/>
          <w:color w:val="000000" w:themeColor="text1"/>
          <w:szCs w:val="24"/>
        </w:rPr>
        <w:t>Ilustración</w:t>
      </w:r>
      <w:proofErr w:type="gramEnd"/>
      <w:r w:rsidR="004D22CB" w:rsidRPr="00C37EF4">
        <w:rPr>
          <w:rFonts w:cs="Open Sans"/>
          <w:color w:val="000000" w:themeColor="text1"/>
          <w:szCs w:val="24"/>
        </w:rPr>
        <w:t xml:space="preserve"> </w:t>
      </w:r>
      <w:r w:rsidR="004D22CB" w:rsidRPr="00C37EF4">
        <w:rPr>
          <w:rFonts w:cs="Open Sans"/>
          <w:b/>
          <w:color w:val="000000" w:themeColor="text1"/>
          <w:szCs w:val="24"/>
        </w:rPr>
        <w:fldChar w:fldCharType="begin"/>
      </w:r>
      <w:r w:rsidR="004D22CB" w:rsidRPr="00C37EF4">
        <w:rPr>
          <w:rFonts w:cs="Open Sans"/>
          <w:color w:val="000000" w:themeColor="text1"/>
          <w:szCs w:val="24"/>
        </w:rPr>
        <w:instrText xml:space="preserve"> SEQ Ilustración \* ARABIC </w:instrText>
      </w:r>
      <w:r w:rsidR="004D22CB" w:rsidRPr="00C37EF4">
        <w:rPr>
          <w:rFonts w:cs="Open Sans"/>
          <w:b/>
          <w:color w:val="000000" w:themeColor="text1"/>
          <w:szCs w:val="24"/>
        </w:rPr>
        <w:fldChar w:fldCharType="separate"/>
      </w:r>
      <w:r w:rsidR="004D22CB">
        <w:rPr>
          <w:rFonts w:cs="Open Sans"/>
          <w:noProof/>
          <w:color w:val="000000" w:themeColor="text1"/>
          <w:szCs w:val="24"/>
        </w:rPr>
        <w:t>4</w:t>
      </w:r>
      <w:r w:rsidR="004D22CB" w:rsidRPr="00C37EF4">
        <w:rPr>
          <w:rFonts w:cs="Open Sans"/>
          <w:b/>
          <w:color w:val="000000" w:themeColor="text1"/>
          <w:szCs w:val="24"/>
        </w:rPr>
        <w:fldChar w:fldCharType="end"/>
      </w:r>
      <w:r w:rsidR="004D22CB" w:rsidRPr="00C37EF4">
        <w:rPr>
          <w:rFonts w:cs="Open Sans"/>
          <w:color w:val="000000" w:themeColor="text1"/>
          <w:szCs w:val="24"/>
        </w:rPr>
        <w:t>. Nivel de Madurez ISO/IEC 27001 en el</w:t>
      </w:r>
    </w:p>
    <w:p w14:paraId="1ECB436F" w14:textId="77777777" w:rsidR="00A94D11" w:rsidRDefault="00A94D11" w:rsidP="004D22CB">
      <w:pPr>
        <w:rPr>
          <w:rFonts w:cs="Open Sans"/>
          <w:color w:val="000000" w:themeColor="text1"/>
          <w:szCs w:val="24"/>
        </w:rPr>
      </w:pPr>
    </w:p>
    <w:p w14:paraId="76E6CA9E" w14:textId="77777777" w:rsidR="00A94D11" w:rsidRPr="00F441CB" w:rsidRDefault="00A94D11" w:rsidP="00A94D11">
      <w:pPr>
        <w:rPr>
          <w:rFonts w:ascii="Open Sans" w:hAnsi="Open Sans" w:cs="Open Sans"/>
          <w:b/>
          <w:color w:val="000000" w:themeColor="text1"/>
          <w:szCs w:val="24"/>
        </w:rPr>
      </w:pPr>
      <w:r w:rsidRPr="00F441CB">
        <w:rPr>
          <w:rFonts w:ascii="Open Sans" w:hAnsi="Open Sans" w:cs="Open Sans"/>
          <w:b/>
          <w:color w:val="000000" w:themeColor="text1"/>
          <w:szCs w:val="24"/>
        </w:rPr>
        <w:t>Nota:</w:t>
      </w:r>
    </w:p>
    <w:p w14:paraId="0EF812AD" w14:textId="77777777" w:rsidR="00A94D11" w:rsidRDefault="00A94D11" w:rsidP="00A94D11">
      <w:pPr>
        <w:rPr>
          <w:rFonts w:ascii="Open Sans" w:hAnsi="Open Sans" w:cs="Open Sans"/>
          <w:szCs w:val="24"/>
        </w:rPr>
      </w:pPr>
      <w:r>
        <w:rPr>
          <w:rFonts w:ascii="Open Sans" w:hAnsi="Open Sans" w:cs="Open Sans"/>
          <w:color w:val="000000" w:themeColor="text1"/>
          <w:szCs w:val="24"/>
        </w:rPr>
        <w:t>El promedio en el 2019 de los niveles de madurez de las cláusulas mandatarias nos indica el nivel de madurez actual del INS respecto a</w:t>
      </w:r>
      <w:r>
        <w:rPr>
          <w:rFonts w:ascii="Open Sans" w:hAnsi="Open Sans" w:cs="Open Sans"/>
          <w:szCs w:val="24"/>
        </w:rPr>
        <w:t>l estándar</w:t>
      </w:r>
      <w:r w:rsidRPr="00B74EC4">
        <w:rPr>
          <w:rFonts w:ascii="Open Sans" w:hAnsi="Open Sans" w:cs="Open Sans"/>
          <w:szCs w:val="24"/>
        </w:rPr>
        <w:t xml:space="preserve"> ISO/IEC 27001:2013</w:t>
      </w:r>
      <w:r>
        <w:rPr>
          <w:rFonts w:ascii="Open Sans" w:hAnsi="Open Sans" w:cs="Open Sans"/>
          <w:szCs w:val="24"/>
        </w:rPr>
        <w:t>, el cual es</w:t>
      </w:r>
      <w:r w:rsidRPr="00B74EC4">
        <w:rPr>
          <w:rFonts w:ascii="Open Sans" w:hAnsi="Open Sans" w:cs="Open Sans"/>
          <w:szCs w:val="24"/>
        </w:rPr>
        <w:t xml:space="preserve">: </w:t>
      </w:r>
      <w:r>
        <w:rPr>
          <w:rFonts w:ascii="Open Sans" w:hAnsi="Open Sans" w:cs="Open Sans"/>
          <w:b/>
          <w:szCs w:val="24"/>
          <w:u w:val="single"/>
        </w:rPr>
        <w:t>D</w:t>
      </w:r>
      <w:r w:rsidRPr="00F441CB">
        <w:rPr>
          <w:rFonts w:ascii="Open Sans" w:hAnsi="Open Sans" w:cs="Open Sans"/>
          <w:b/>
          <w:szCs w:val="24"/>
          <w:u w:val="single"/>
        </w:rPr>
        <w:t>E</w:t>
      </w:r>
      <w:r>
        <w:rPr>
          <w:rFonts w:ascii="Open Sans" w:hAnsi="Open Sans" w:cs="Open Sans"/>
          <w:b/>
          <w:szCs w:val="24"/>
          <w:u w:val="single"/>
        </w:rPr>
        <w:t>FINIDO</w:t>
      </w:r>
      <w:r w:rsidRPr="00F441CB">
        <w:rPr>
          <w:rFonts w:ascii="Open Sans" w:hAnsi="Open Sans" w:cs="Open Sans"/>
          <w:b/>
          <w:szCs w:val="24"/>
          <w:u w:val="single"/>
        </w:rPr>
        <w:t xml:space="preserve"> con un </w:t>
      </w:r>
      <w:r>
        <w:rPr>
          <w:rFonts w:ascii="Open Sans" w:hAnsi="Open Sans" w:cs="Open Sans"/>
          <w:b/>
          <w:szCs w:val="24"/>
          <w:u w:val="single"/>
        </w:rPr>
        <w:t>44</w:t>
      </w:r>
      <w:r w:rsidRPr="00F441CB">
        <w:rPr>
          <w:rFonts w:ascii="Open Sans" w:hAnsi="Open Sans" w:cs="Open Sans"/>
          <w:b/>
          <w:szCs w:val="24"/>
          <w:u w:val="single"/>
        </w:rPr>
        <w:t>%.</w:t>
      </w:r>
      <w:r w:rsidRPr="00B74EC4">
        <w:rPr>
          <w:rFonts w:ascii="Open Sans" w:hAnsi="Open Sans" w:cs="Open Sans"/>
          <w:szCs w:val="24"/>
        </w:rPr>
        <w:t xml:space="preserve"> </w:t>
      </w:r>
      <w:r>
        <w:rPr>
          <w:rFonts w:ascii="Open Sans" w:hAnsi="Open Sans" w:cs="Open Sans"/>
          <w:szCs w:val="24"/>
        </w:rPr>
        <w:t xml:space="preserve"> </w:t>
      </w:r>
    </w:p>
    <w:p w14:paraId="5DF13350" w14:textId="77777777" w:rsidR="000F099B" w:rsidRDefault="000F099B" w:rsidP="000F099B"/>
    <w:p w14:paraId="094A744F" w14:textId="77777777" w:rsidR="000F099B" w:rsidRDefault="000F099B" w:rsidP="00187127">
      <w:pPr>
        <w:pStyle w:val="Ttulo2"/>
        <w:keepNext/>
        <w:keepLines/>
        <w:widowControl/>
        <w:numPr>
          <w:ilvl w:val="1"/>
          <w:numId w:val="8"/>
        </w:numPr>
        <w:autoSpaceDE/>
        <w:autoSpaceDN/>
        <w:spacing w:before="120"/>
        <w:jc w:val="both"/>
        <w:rPr>
          <w:rFonts w:ascii="Open Sans" w:hAnsi="Open Sans" w:cs="Open Sans"/>
          <w:color w:val="000000" w:themeColor="text1"/>
        </w:rPr>
      </w:pPr>
      <w:r w:rsidRPr="00D21BD0">
        <w:rPr>
          <w:rFonts w:ascii="Open Sans" w:hAnsi="Open Sans" w:cs="Open Sans"/>
          <w:color w:val="000000" w:themeColor="text1"/>
        </w:rPr>
        <w:lastRenderedPageBreak/>
        <w:t xml:space="preserve"> </w:t>
      </w:r>
      <w:bookmarkStart w:id="54" w:name="_Toc518815696"/>
      <w:bookmarkStart w:id="55" w:name="_Toc528775203"/>
      <w:r w:rsidRPr="00D21BD0">
        <w:rPr>
          <w:rFonts w:ascii="Open Sans" w:hAnsi="Open Sans" w:cs="Open Sans"/>
          <w:color w:val="000000" w:themeColor="text1"/>
        </w:rPr>
        <w:t>NIVEL DE IMPLEMENTACIÓN DE LOS REQURIMIENTOS DEL ANEXO A (ISO/IEC 27001:2015)</w:t>
      </w:r>
      <w:bookmarkEnd w:id="54"/>
      <w:bookmarkEnd w:id="55"/>
    </w:p>
    <w:p w14:paraId="085CB1ED" w14:textId="77777777" w:rsidR="000F099B" w:rsidRPr="004D1351" w:rsidRDefault="000F099B" w:rsidP="000F099B"/>
    <w:p w14:paraId="67227F8D" w14:textId="77777777" w:rsidR="000F099B" w:rsidRDefault="000F099B" w:rsidP="000F099B">
      <w:pPr>
        <w:rPr>
          <w:rFonts w:ascii="Open Sans" w:hAnsi="Open Sans" w:cs="Open Sans"/>
          <w:color w:val="000000" w:themeColor="text1"/>
          <w:sz w:val="24"/>
          <w:szCs w:val="24"/>
        </w:rPr>
      </w:pPr>
      <w:r w:rsidRPr="006812C9">
        <w:rPr>
          <w:rFonts w:ascii="Open Sans" w:hAnsi="Open Sans" w:cs="Open Sans"/>
          <w:color w:val="000000" w:themeColor="text1"/>
          <w:sz w:val="24"/>
          <w:szCs w:val="24"/>
        </w:rPr>
        <w:t xml:space="preserve">Como se mencionó anteriormente la segunda sección tiene que ver con el análisis del cumplimiento frente al Anexo A </w:t>
      </w:r>
      <w:r>
        <w:rPr>
          <w:rFonts w:ascii="Open Sans" w:hAnsi="Open Sans" w:cs="Open Sans"/>
          <w:color w:val="000000" w:themeColor="text1"/>
          <w:sz w:val="24"/>
          <w:szCs w:val="24"/>
        </w:rPr>
        <w:t>del estándar</w:t>
      </w:r>
      <w:r w:rsidRPr="006812C9">
        <w:rPr>
          <w:rFonts w:ascii="Open Sans" w:hAnsi="Open Sans" w:cs="Open Sans"/>
          <w:color w:val="000000" w:themeColor="text1"/>
          <w:sz w:val="24"/>
          <w:szCs w:val="24"/>
        </w:rPr>
        <w:t xml:space="preserve"> ISO/IEC 27002:2013. </w:t>
      </w:r>
      <w:r w:rsidR="004D22CB" w:rsidRPr="006812C9">
        <w:rPr>
          <w:rFonts w:ascii="Open Sans" w:hAnsi="Open Sans" w:cs="Open Sans"/>
          <w:color w:val="000000" w:themeColor="text1"/>
          <w:sz w:val="24"/>
          <w:szCs w:val="24"/>
        </w:rPr>
        <w:t>Los dominios para evaluar</w:t>
      </w:r>
      <w:r w:rsidRPr="006812C9">
        <w:rPr>
          <w:rFonts w:ascii="Open Sans" w:hAnsi="Open Sans" w:cs="Open Sans"/>
          <w:color w:val="000000" w:themeColor="text1"/>
          <w:sz w:val="24"/>
          <w:szCs w:val="24"/>
        </w:rPr>
        <w:t xml:space="preserve"> se listan a continuación:</w:t>
      </w:r>
    </w:p>
    <w:p w14:paraId="318435BD" w14:textId="77777777" w:rsidR="000F099B" w:rsidRPr="00F441CB" w:rsidRDefault="000F099B" w:rsidP="00187127">
      <w:pPr>
        <w:pStyle w:val="Prrafodelista"/>
        <w:widowControl/>
        <w:numPr>
          <w:ilvl w:val="0"/>
          <w:numId w:val="9"/>
        </w:numPr>
        <w:autoSpaceDE/>
        <w:autoSpaceDN/>
        <w:contextualSpacing/>
        <w:jc w:val="both"/>
        <w:rPr>
          <w:rFonts w:ascii="Open Sans" w:hAnsi="Open Sans" w:cs="Open Sans"/>
          <w:color w:val="000000" w:themeColor="text1"/>
          <w:szCs w:val="24"/>
        </w:rPr>
      </w:pPr>
      <w:r w:rsidRPr="00F441CB">
        <w:rPr>
          <w:rFonts w:ascii="Open Sans" w:hAnsi="Open Sans" w:cs="Open Sans"/>
          <w:color w:val="000000" w:themeColor="text1"/>
          <w:szCs w:val="24"/>
        </w:rPr>
        <w:t xml:space="preserve">Dominio 5. Política de la Seguridad de la Información         </w:t>
      </w:r>
    </w:p>
    <w:p w14:paraId="380E749E" w14:textId="77777777" w:rsidR="000F099B" w:rsidRPr="00F441CB" w:rsidRDefault="000F099B" w:rsidP="00187127">
      <w:pPr>
        <w:pStyle w:val="Prrafodelista"/>
        <w:widowControl/>
        <w:numPr>
          <w:ilvl w:val="0"/>
          <w:numId w:val="9"/>
        </w:numPr>
        <w:autoSpaceDE/>
        <w:autoSpaceDN/>
        <w:contextualSpacing/>
        <w:jc w:val="both"/>
        <w:rPr>
          <w:rFonts w:ascii="Open Sans" w:hAnsi="Open Sans" w:cs="Open Sans"/>
          <w:color w:val="000000" w:themeColor="text1"/>
          <w:szCs w:val="24"/>
        </w:rPr>
      </w:pPr>
      <w:r w:rsidRPr="00F441CB">
        <w:rPr>
          <w:rFonts w:ascii="Open Sans" w:hAnsi="Open Sans" w:cs="Open Sans"/>
          <w:color w:val="000000" w:themeColor="text1"/>
          <w:szCs w:val="24"/>
        </w:rPr>
        <w:t xml:space="preserve">Dominio 6. Organización de la Seguridad de la Información         </w:t>
      </w:r>
    </w:p>
    <w:p w14:paraId="1D9CACE3" w14:textId="77777777" w:rsidR="000F099B" w:rsidRPr="00F441CB" w:rsidRDefault="000F099B" w:rsidP="00187127">
      <w:pPr>
        <w:pStyle w:val="Prrafodelista"/>
        <w:widowControl/>
        <w:numPr>
          <w:ilvl w:val="0"/>
          <w:numId w:val="9"/>
        </w:numPr>
        <w:autoSpaceDE/>
        <w:autoSpaceDN/>
        <w:contextualSpacing/>
        <w:jc w:val="both"/>
        <w:rPr>
          <w:rFonts w:ascii="Open Sans" w:hAnsi="Open Sans" w:cs="Open Sans"/>
          <w:color w:val="000000" w:themeColor="text1"/>
          <w:szCs w:val="24"/>
        </w:rPr>
      </w:pPr>
      <w:r w:rsidRPr="00F441CB">
        <w:rPr>
          <w:rFonts w:ascii="Open Sans" w:hAnsi="Open Sans" w:cs="Open Sans"/>
          <w:color w:val="000000" w:themeColor="text1"/>
          <w:szCs w:val="24"/>
        </w:rPr>
        <w:t xml:space="preserve">Dominio 7. Seguridad de los Recursos Humanos         </w:t>
      </w:r>
    </w:p>
    <w:p w14:paraId="1EA151FD" w14:textId="77777777" w:rsidR="000F099B" w:rsidRPr="00F441CB" w:rsidRDefault="000F099B" w:rsidP="00187127">
      <w:pPr>
        <w:pStyle w:val="Prrafodelista"/>
        <w:widowControl/>
        <w:numPr>
          <w:ilvl w:val="0"/>
          <w:numId w:val="9"/>
        </w:numPr>
        <w:autoSpaceDE/>
        <w:autoSpaceDN/>
        <w:contextualSpacing/>
        <w:jc w:val="both"/>
        <w:rPr>
          <w:rFonts w:ascii="Open Sans" w:hAnsi="Open Sans" w:cs="Open Sans"/>
          <w:color w:val="000000" w:themeColor="text1"/>
          <w:szCs w:val="24"/>
        </w:rPr>
      </w:pPr>
      <w:r w:rsidRPr="00F441CB">
        <w:rPr>
          <w:rFonts w:ascii="Open Sans" w:hAnsi="Open Sans" w:cs="Open Sans"/>
          <w:color w:val="000000" w:themeColor="text1"/>
          <w:szCs w:val="24"/>
        </w:rPr>
        <w:t xml:space="preserve">Dominio 8. Gestión de Activos       </w:t>
      </w:r>
    </w:p>
    <w:p w14:paraId="2DD3225D" w14:textId="77777777" w:rsidR="000F099B" w:rsidRPr="00F441CB" w:rsidRDefault="000F099B" w:rsidP="00187127">
      <w:pPr>
        <w:pStyle w:val="Prrafodelista"/>
        <w:widowControl/>
        <w:numPr>
          <w:ilvl w:val="0"/>
          <w:numId w:val="9"/>
        </w:numPr>
        <w:autoSpaceDE/>
        <w:autoSpaceDN/>
        <w:contextualSpacing/>
        <w:jc w:val="both"/>
        <w:rPr>
          <w:rFonts w:ascii="Open Sans" w:hAnsi="Open Sans" w:cs="Open Sans"/>
          <w:color w:val="000000" w:themeColor="text1"/>
          <w:szCs w:val="24"/>
        </w:rPr>
      </w:pPr>
      <w:r w:rsidRPr="00F441CB">
        <w:rPr>
          <w:rFonts w:ascii="Open Sans" w:hAnsi="Open Sans" w:cs="Open Sans"/>
          <w:color w:val="000000" w:themeColor="text1"/>
          <w:szCs w:val="24"/>
        </w:rPr>
        <w:t xml:space="preserve">Dominio 9. Control de Acceso      </w:t>
      </w:r>
    </w:p>
    <w:p w14:paraId="17DA2041" w14:textId="77777777" w:rsidR="000F099B" w:rsidRPr="00F441CB" w:rsidRDefault="000F099B" w:rsidP="00187127">
      <w:pPr>
        <w:pStyle w:val="Prrafodelista"/>
        <w:widowControl/>
        <w:numPr>
          <w:ilvl w:val="0"/>
          <w:numId w:val="9"/>
        </w:numPr>
        <w:autoSpaceDE/>
        <w:autoSpaceDN/>
        <w:contextualSpacing/>
        <w:jc w:val="both"/>
        <w:rPr>
          <w:rFonts w:ascii="Open Sans" w:hAnsi="Open Sans" w:cs="Open Sans"/>
          <w:color w:val="000000" w:themeColor="text1"/>
          <w:szCs w:val="24"/>
        </w:rPr>
      </w:pPr>
      <w:r w:rsidRPr="00F441CB">
        <w:rPr>
          <w:rFonts w:ascii="Open Sans" w:hAnsi="Open Sans" w:cs="Open Sans"/>
          <w:color w:val="000000" w:themeColor="text1"/>
          <w:szCs w:val="24"/>
        </w:rPr>
        <w:t xml:space="preserve">Dominio 10. Criptografía       </w:t>
      </w:r>
    </w:p>
    <w:p w14:paraId="2614289E" w14:textId="77777777" w:rsidR="000F099B" w:rsidRPr="00F441CB" w:rsidRDefault="000F099B" w:rsidP="00187127">
      <w:pPr>
        <w:pStyle w:val="Prrafodelista"/>
        <w:widowControl/>
        <w:numPr>
          <w:ilvl w:val="0"/>
          <w:numId w:val="9"/>
        </w:numPr>
        <w:autoSpaceDE/>
        <w:autoSpaceDN/>
        <w:contextualSpacing/>
        <w:jc w:val="both"/>
        <w:rPr>
          <w:rFonts w:ascii="Open Sans" w:hAnsi="Open Sans" w:cs="Open Sans"/>
          <w:color w:val="000000" w:themeColor="text1"/>
          <w:szCs w:val="24"/>
        </w:rPr>
      </w:pPr>
      <w:r w:rsidRPr="00F441CB">
        <w:rPr>
          <w:rFonts w:ascii="Open Sans" w:hAnsi="Open Sans" w:cs="Open Sans"/>
          <w:color w:val="000000" w:themeColor="text1"/>
          <w:szCs w:val="24"/>
        </w:rPr>
        <w:t xml:space="preserve">Dominio 11. Seguridad Física y del Entorno        </w:t>
      </w:r>
    </w:p>
    <w:p w14:paraId="6E67086B" w14:textId="77777777" w:rsidR="000F099B" w:rsidRPr="00F441CB" w:rsidRDefault="000F099B" w:rsidP="00187127">
      <w:pPr>
        <w:pStyle w:val="Prrafodelista"/>
        <w:widowControl/>
        <w:numPr>
          <w:ilvl w:val="0"/>
          <w:numId w:val="9"/>
        </w:numPr>
        <w:autoSpaceDE/>
        <w:autoSpaceDN/>
        <w:contextualSpacing/>
        <w:jc w:val="both"/>
        <w:rPr>
          <w:rFonts w:ascii="Open Sans" w:hAnsi="Open Sans" w:cs="Open Sans"/>
          <w:color w:val="000000" w:themeColor="text1"/>
          <w:szCs w:val="24"/>
        </w:rPr>
      </w:pPr>
      <w:r w:rsidRPr="00F441CB">
        <w:rPr>
          <w:rFonts w:ascii="Open Sans" w:hAnsi="Open Sans" w:cs="Open Sans"/>
          <w:color w:val="000000" w:themeColor="text1"/>
          <w:szCs w:val="24"/>
        </w:rPr>
        <w:t xml:space="preserve">Dominio 12. Seguridad de las Operaciones         </w:t>
      </w:r>
    </w:p>
    <w:p w14:paraId="01BAD49B" w14:textId="77777777" w:rsidR="000F099B" w:rsidRPr="00F441CB" w:rsidRDefault="000F099B" w:rsidP="00187127">
      <w:pPr>
        <w:pStyle w:val="Prrafodelista"/>
        <w:widowControl/>
        <w:numPr>
          <w:ilvl w:val="0"/>
          <w:numId w:val="9"/>
        </w:numPr>
        <w:autoSpaceDE/>
        <w:autoSpaceDN/>
        <w:contextualSpacing/>
        <w:jc w:val="both"/>
        <w:rPr>
          <w:rFonts w:ascii="Open Sans" w:hAnsi="Open Sans" w:cs="Open Sans"/>
          <w:color w:val="000000" w:themeColor="text1"/>
          <w:szCs w:val="24"/>
        </w:rPr>
      </w:pPr>
      <w:r w:rsidRPr="00F441CB">
        <w:rPr>
          <w:rFonts w:ascii="Open Sans" w:hAnsi="Open Sans" w:cs="Open Sans"/>
          <w:color w:val="000000" w:themeColor="text1"/>
          <w:szCs w:val="24"/>
        </w:rPr>
        <w:t xml:space="preserve">Dominio 13. Seguridad de las Comunicaciones         </w:t>
      </w:r>
    </w:p>
    <w:p w14:paraId="777AE8CA" w14:textId="77777777" w:rsidR="000F099B" w:rsidRPr="00F441CB" w:rsidRDefault="000F099B" w:rsidP="00187127">
      <w:pPr>
        <w:pStyle w:val="Prrafodelista"/>
        <w:widowControl/>
        <w:numPr>
          <w:ilvl w:val="0"/>
          <w:numId w:val="9"/>
        </w:numPr>
        <w:autoSpaceDE/>
        <w:autoSpaceDN/>
        <w:contextualSpacing/>
        <w:jc w:val="both"/>
        <w:rPr>
          <w:rFonts w:ascii="Open Sans" w:hAnsi="Open Sans" w:cs="Open Sans"/>
          <w:color w:val="000000" w:themeColor="text1"/>
          <w:szCs w:val="24"/>
        </w:rPr>
      </w:pPr>
      <w:r w:rsidRPr="00F441CB">
        <w:rPr>
          <w:rFonts w:ascii="Open Sans" w:hAnsi="Open Sans" w:cs="Open Sans"/>
          <w:color w:val="000000" w:themeColor="text1"/>
          <w:szCs w:val="24"/>
        </w:rPr>
        <w:t xml:space="preserve">Dominio 14. Adquisición, desarrollo y mantenimiento        </w:t>
      </w:r>
    </w:p>
    <w:p w14:paraId="41418D37" w14:textId="77777777" w:rsidR="000F099B" w:rsidRPr="00F441CB" w:rsidRDefault="000F099B" w:rsidP="00187127">
      <w:pPr>
        <w:pStyle w:val="Prrafodelista"/>
        <w:widowControl/>
        <w:numPr>
          <w:ilvl w:val="0"/>
          <w:numId w:val="9"/>
        </w:numPr>
        <w:autoSpaceDE/>
        <w:autoSpaceDN/>
        <w:contextualSpacing/>
        <w:jc w:val="both"/>
        <w:rPr>
          <w:rFonts w:ascii="Open Sans" w:hAnsi="Open Sans" w:cs="Open Sans"/>
          <w:color w:val="000000" w:themeColor="text1"/>
          <w:szCs w:val="24"/>
        </w:rPr>
      </w:pPr>
      <w:r w:rsidRPr="00F441CB">
        <w:rPr>
          <w:rFonts w:ascii="Open Sans" w:hAnsi="Open Sans" w:cs="Open Sans"/>
          <w:color w:val="000000" w:themeColor="text1"/>
          <w:szCs w:val="24"/>
        </w:rPr>
        <w:t xml:space="preserve">Dominio 15. Relaciones con los Proveedores         </w:t>
      </w:r>
    </w:p>
    <w:p w14:paraId="0AD33CE4" w14:textId="77777777" w:rsidR="000F099B" w:rsidRPr="00F441CB" w:rsidRDefault="000F099B" w:rsidP="00187127">
      <w:pPr>
        <w:pStyle w:val="Prrafodelista"/>
        <w:widowControl/>
        <w:numPr>
          <w:ilvl w:val="0"/>
          <w:numId w:val="9"/>
        </w:numPr>
        <w:autoSpaceDE/>
        <w:autoSpaceDN/>
        <w:contextualSpacing/>
        <w:jc w:val="both"/>
        <w:rPr>
          <w:rFonts w:ascii="Open Sans" w:hAnsi="Open Sans" w:cs="Open Sans"/>
          <w:color w:val="000000" w:themeColor="text1"/>
          <w:szCs w:val="24"/>
        </w:rPr>
      </w:pPr>
      <w:r w:rsidRPr="00F441CB">
        <w:rPr>
          <w:rFonts w:ascii="Open Sans" w:hAnsi="Open Sans" w:cs="Open Sans"/>
          <w:color w:val="000000" w:themeColor="text1"/>
          <w:szCs w:val="24"/>
        </w:rPr>
        <w:t xml:space="preserve">Dominio 16. Gestión de Incidentes de Seguridad de la Información         </w:t>
      </w:r>
    </w:p>
    <w:p w14:paraId="64D3BC5C" w14:textId="77777777" w:rsidR="000F099B" w:rsidRPr="00F441CB" w:rsidRDefault="000F099B" w:rsidP="00187127">
      <w:pPr>
        <w:pStyle w:val="Prrafodelista"/>
        <w:widowControl/>
        <w:numPr>
          <w:ilvl w:val="0"/>
          <w:numId w:val="9"/>
        </w:numPr>
        <w:autoSpaceDE/>
        <w:autoSpaceDN/>
        <w:contextualSpacing/>
        <w:jc w:val="both"/>
        <w:rPr>
          <w:rFonts w:ascii="Open Sans" w:hAnsi="Open Sans" w:cs="Open Sans"/>
          <w:color w:val="000000" w:themeColor="text1"/>
          <w:szCs w:val="24"/>
        </w:rPr>
      </w:pPr>
      <w:r w:rsidRPr="00F441CB">
        <w:rPr>
          <w:rFonts w:ascii="Open Sans" w:hAnsi="Open Sans" w:cs="Open Sans"/>
          <w:color w:val="000000" w:themeColor="text1"/>
          <w:szCs w:val="24"/>
        </w:rPr>
        <w:t xml:space="preserve">Dominio 17. Aspectos de Seguridad Información en la Continuidad de Negocio      </w:t>
      </w:r>
    </w:p>
    <w:p w14:paraId="29EE04D8" w14:textId="77777777" w:rsidR="000F099B" w:rsidRPr="00C12429" w:rsidRDefault="000F099B" w:rsidP="00187127">
      <w:pPr>
        <w:pStyle w:val="Prrafodelista"/>
        <w:widowControl/>
        <w:numPr>
          <w:ilvl w:val="0"/>
          <w:numId w:val="9"/>
        </w:numPr>
        <w:autoSpaceDE/>
        <w:autoSpaceDN/>
        <w:contextualSpacing/>
        <w:jc w:val="both"/>
        <w:rPr>
          <w:rFonts w:ascii="Open Sans" w:hAnsi="Open Sans" w:cs="Open Sans"/>
          <w:color w:val="000000" w:themeColor="text1"/>
          <w:sz w:val="24"/>
          <w:szCs w:val="24"/>
        </w:rPr>
      </w:pPr>
      <w:r w:rsidRPr="00F441CB">
        <w:rPr>
          <w:rFonts w:ascii="Open Sans" w:hAnsi="Open Sans" w:cs="Open Sans"/>
          <w:color w:val="000000" w:themeColor="text1"/>
          <w:szCs w:val="24"/>
        </w:rPr>
        <w:t>Dominio 18. Cumplimiento</w:t>
      </w:r>
    </w:p>
    <w:p w14:paraId="2B3C89C4" w14:textId="77777777" w:rsidR="000F099B" w:rsidRPr="00F441CB" w:rsidRDefault="000F099B" w:rsidP="000F099B">
      <w:pPr>
        <w:pStyle w:val="Prrafodelista"/>
        <w:rPr>
          <w:rFonts w:ascii="Open Sans" w:hAnsi="Open Sans" w:cs="Open Sans"/>
          <w:color w:val="000000" w:themeColor="text1"/>
          <w:sz w:val="24"/>
          <w:szCs w:val="24"/>
        </w:rPr>
      </w:pPr>
    </w:p>
    <w:p w14:paraId="4C7DFFFD" w14:textId="77777777" w:rsidR="000F099B" w:rsidRPr="009A022D" w:rsidRDefault="000F099B" w:rsidP="00187127">
      <w:pPr>
        <w:pStyle w:val="Ttulo2"/>
        <w:keepNext/>
        <w:keepLines/>
        <w:widowControl/>
        <w:numPr>
          <w:ilvl w:val="1"/>
          <w:numId w:val="8"/>
        </w:numPr>
        <w:autoSpaceDE/>
        <w:autoSpaceDN/>
        <w:spacing w:before="120"/>
        <w:jc w:val="both"/>
        <w:rPr>
          <w:rFonts w:ascii="Open Sans" w:hAnsi="Open Sans" w:cs="Open Sans"/>
          <w:color w:val="000000" w:themeColor="text1"/>
        </w:rPr>
      </w:pPr>
      <w:bookmarkStart w:id="56" w:name="_Toc518771197"/>
      <w:bookmarkStart w:id="57" w:name="_Toc518815697"/>
      <w:bookmarkStart w:id="58" w:name="_Toc528775204"/>
      <w:r w:rsidRPr="009A022D">
        <w:rPr>
          <w:rFonts w:ascii="Open Sans" w:hAnsi="Open Sans" w:cs="Open Sans"/>
          <w:color w:val="000000" w:themeColor="text1"/>
        </w:rPr>
        <w:t>RESUMEN IMPLEMENTACIÓN ANEXO A</w:t>
      </w:r>
      <w:bookmarkEnd w:id="56"/>
      <w:bookmarkEnd w:id="57"/>
      <w:bookmarkEnd w:id="58"/>
    </w:p>
    <w:p w14:paraId="18D27A4F" w14:textId="77777777" w:rsidR="000F099B" w:rsidRDefault="000F099B" w:rsidP="000F099B"/>
    <w:p w14:paraId="5DAAE3AB" w14:textId="77777777" w:rsidR="000F099B" w:rsidRDefault="000F099B" w:rsidP="000F099B">
      <w:r w:rsidRPr="00C37EF4">
        <w:rPr>
          <w:rFonts w:ascii="Open Sans" w:hAnsi="Open Sans" w:cs="Open Sans"/>
          <w:color w:val="000000" w:themeColor="text1"/>
          <w:szCs w:val="24"/>
        </w:rPr>
        <w:t xml:space="preserve">A continuación, se presenta un resumen del cumplimiento identificado en los objetivos de control y controles de seguridad, establecidos en el Anexo A </w:t>
      </w:r>
      <w:r>
        <w:rPr>
          <w:rFonts w:ascii="Open Sans" w:hAnsi="Open Sans" w:cs="Open Sans"/>
          <w:color w:val="000000" w:themeColor="text1"/>
          <w:szCs w:val="24"/>
        </w:rPr>
        <w:t>del estándar</w:t>
      </w:r>
      <w:r w:rsidRPr="00C37EF4">
        <w:rPr>
          <w:rFonts w:ascii="Open Sans" w:hAnsi="Open Sans" w:cs="Open Sans"/>
          <w:color w:val="000000" w:themeColor="text1"/>
          <w:szCs w:val="24"/>
        </w:rPr>
        <w:t xml:space="preserve"> ISO/IEC 27001:2013</w:t>
      </w:r>
      <w:r>
        <w:rPr>
          <w:rFonts w:ascii="Open Sans" w:hAnsi="Open Sans" w:cs="Open Sans"/>
          <w:color w:val="000000" w:themeColor="text1"/>
          <w:szCs w:val="24"/>
        </w:rPr>
        <w:t>:</w:t>
      </w:r>
      <w:r>
        <w:t xml:space="preserve"> </w:t>
      </w:r>
    </w:p>
    <w:p w14:paraId="7FECEF15" w14:textId="77777777" w:rsidR="000F099B" w:rsidRPr="00BF2CAA" w:rsidRDefault="000F099B" w:rsidP="000F099B">
      <w:pPr>
        <w:pStyle w:val="Sinespaciado"/>
      </w:pPr>
    </w:p>
    <w:p w14:paraId="3F9D0246" w14:textId="77777777" w:rsidR="000F099B" w:rsidRDefault="000F099B" w:rsidP="000F099B">
      <w:pPr>
        <w:pStyle w:val="Sinespaciado"/>
        <w:jc w:val="center"/>
      </w:pPr>
      <w:r>
        <w:rPr>
          <w:noProof/>
          <w:lang w:val="es-CO" w:eastAsia="es-CO"/>
        </w:rPr>
        <w:drawing>
          <wp:inline distT="0" distB="0" distL="0" distR="0" wp14:anchorId="10B7AD30" wp14:editId="717BBD9C">
            <wp:extent cx="4572000" cy="2743200"/>
            <wp:effectExtent l="0" t="0" r="0" b="0"/>
            <wp:docPr id="485" name="Gráfico 485">
              <a:extLst xmlns:a="http://schemas.openxmlformats.org/drawingml/2006/main">
                <a:ext uri="{FF2B5EF4-FFF2-40B4-BE49-F238E27FC236}">
                  <a16:creationId xmlns:a16="http://schemas.microsoft.com/office/drawing/2014/main" id="{D7E4CC95-8B24-46C7-B2FF-1379FC6CD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6D04D6" w14:textId="77777777" w:rsidR="000F099B" w:rsidRDefault="000F099B" w:rsidP="000F099B">
      <w:pPr>
        <w:pStyle w:val="Descripcin"/>
        <w:jc w:val="center"/>
        <w:rPr>
          <w:rFonts w:cs="Open Sans"/>
          <w:b/>
          <w:color w:val="000000" w:themeColor="text1"/>
          <w:szCs w:val="24"/>
        </w:rPr>
      </w:pPr>
      <w:bookmarkStart w:id="59" w:name="_Toc494148286"/>
      <w:bookmarkStart w:id="60" w:name="_Toc528828156"/>
      <w:r w:rsidRPr="008C670E">
        <w:rPr>
          <w:rFonts w:cs="Open Sans"/>
          <w:color w:val="000000" w:themeColor="text1"/>
          <w:szCs w:val="24"/>
        </w:rPr>
        <w:t xml:space="preserve">Ilustración </w:t>
      </w:r>
      <w:r w:rsidRPr="008C670E">
        <w:rPr>
          <w:rFonts w:cs="Open Sans"/>
          <w:b/>
          <w:color w:val="000000" w:themeColor="text1"/>
          <w:szCs w:val="24"/>
        </w:rPr>
        <w:fldChar w:fldCharType="begin"/>
      </w:r>
      <w:r w:rsidRPr="008C670E">
        <w:rPr>
          <w:rFonts w:cs="Open Sans"/>
          <w:color w:val="000000" w:themeColor="text1"/>
          <w:szCs w:val="24"/>
        </w:rPr>
        <w:instrText xml:space="preserve"> SEQ Ilustración \* ARABIC </w:instrText>
      </w:r>
      <w:r w:rsidRPr="008C670E">
        <w:rPr>
          <w:rFonts w:cs="Open Sans"/>
          <w:b/>
          <w:color w:val="000000" w:themeColor="text1"/>
          <w:szCs w:val="24"/>
        </w:rPr>
        <w:fldChar w:fldCharType="separate"/>
      </w:r>
      <w:r w:rsidR="0098415C">
        <w:rPr>
          <w:rFonts w:cs="Open Sans"/>
          <w:noProof/>
          <w:color w:val="000000" w:themeColor="text1"/>
          <w:szCs w:val="24"/>
        </w:rPr>
        <w:t>5</w:t>
      </w:r>
      <w:r w:rsidRPr="008C670E">
        <w:rPr>
          <w:rFonts w:cs="Open Sans"/>
          <w:b/>
          <w:color w:val="000000" w:themeColor="text1"/>
          <w:szCs w:val="24"/>
        </w:rPr>
        <w:fldChar w:fldCharType="end"/>
      </w:r>
      <w:r w:rsidRPr="00C37EF4">
        <w:rPr>
          <w:rFonts w:cs="Open Sans"/>
          <w:color w:val="000000" w:themeColor="text1"/>
          <w:szCs w:val="24"/>
        </w:rPr>
        <w:t>. Estado ac</w:t>
      </w:r>
      <w:r>
        <w:rPr>
          <w:rFonts w:cs="Open Sans"/>
          <w:color w:val="000000" w:themeColor="text1"/>
          <w:szCs w:val="24"/>
        </w:rPr>
        <w:t>tual de cumplimiento del Anexo A - ISO 27001</w:t>
      </w:r>
      <w:r w:rsidRPr="00C37EF4">
        <w:rPr>
          <w:rFonts w:cs="Open Sans"/>
          <w:color w:val="000000" w:themeColor="text1"/>
          <w:szCs w:val="24"/>
        </w:rPr>
        <w:t>:201</w:t>
      </w:r>
      <w:bookmarkEnd w:id="59"/>
      <w:r>
        <w:rPr>
          <w:rFonts w:cs="Open Sans"/>
          <w:color w:val="000000" w:themeColor="text1"/>
          <w:szCs w:val="24"/>
        </w:rPr>
        <w:t>5</w:t>
      </w:r>
      <w:bookmarkEnd w:id="60"/>
    </w:p>
    <w:p w14:paraId="425F2B35" w14:textId="77777777" w:rsidR="000F099B" w:rsidRPr="00C12429" w:rsidRDefault="000F099B" w:rsidP="000F099B">
      <w:pPr>
        <w:pStyle w:val="Sinespaciado"/>
        <w:rPr>
          <w:b/>
        </w:rPr>
      </w:pPr>
      <w:r w:rsidRPr="00C12429">
        <w:rPr>
          <w:rFonts w:ascii="Open Sans" w:hAnsi="Open Sans" w:cs="Open Sans"/>
          <w:b/>
          <w:color w:val="000000" w:themeColor="text1"/>
          <w:szCs w:val="24"/>
        </w:rPr>
        <w:t>Nota</w:t>
      </w:r>
      <w:r>
        <w:rPr>
          <w:rFonts w:ascii="Open Sans" w:hAnsi="Open Sans" w:cs="Open Sans"/>
          <w:b/>
          <w:color w:val="000000" w:themeColor="text1"/>
          <w:szCs w:val="24"/>
        </w:rPr>
        <w:t>:</w:t>
      </w:r>
    </w:p>
    <w:p w14:paraId="58096333" w14:textId="77777777" w:rsidR="000F099B" w:rsidRDefault="000F099B" w:rsidP="000F099B">
      <w:r>
        <w:rPr>
          <w:rFonts w:ascii="Open Sans" w:hAnsi="Open Sans" w:cs="Open Sans"/>
          <w:color w:val="000000" w:themeColor="text1"/>
          <w:szCs w:val="24"/>
        </w:rPr>
        <w:t>E</w:t>
      </w:r>
      <w:r w:rsidRPr="00C37EF4">
        <w:rPr>
          <w:rFonts w:ascii="Open Sans" w:hAnsi="Open Sans" w:cs="Open Sans"/>
          <w:color w:val="000000" w:themeColor="text1"/>
          <w:szCs w:val="24"/>
        </w:rPr>
        <w:t xml:space="preserve">l detalle del análisis </w:t>
      </w:r>
      <w:r w:rsidR="00A94D11">
        <w:rPr>
          <w:rFonts w:ascii="Open Sans" w:hAnsi="Open Sans" w:cs="Open Sans"/>
          <w:color w:val="000000" w:themeColor="text1"/>
          <w:szCs w:val="24"/>
        </w:rPr>
        <w:t xml:space="preserve">2018 </w:t>
      </w:r>
      <w:r w:rsidRPr="00C37EF4">
        <w:rPr>
          <w:rFonts w:ascii="Open Sans" w:hAnsi="Open Sans" w:cs="Open Sans"/>
          <w:color w:val="000000" w:themeColor="text1"/>
          <w:szCs w:val="24"/>
        </w:rPr>
        <w:t xml:space="preserve">realizado se encuentra en el </w:t>
      </w:r>
      <w:r w:rsidRPr="00C37EF4">
        <w:rPr>
          <w:rFonts w:ascii="Open Sans" w:hAnsi="Open Sans" w:cs="Open Sans"/>
          <w:b/>
          <w:color w:val="000000" w:themeColor="text1"/>
          <w:szCs w:val="24"/>
        </w:rPr>
        <w:t>Anexo 2. Detalle Análisis de Cumplimiento Respecto a Controles del Anexo A (ISO/IEC 27002:2015)</w:t>
      </w:r>
      <w:r w:rsidRPr="00C37EF4">
        <w:rPr>
          <w:rFonts w:ascii="Open Sans" w:hAnsi="Open Sans" w:cs="Open Sans"/>
          <w:color w:val="000000" w:themeColor="text1"/>
          <w:szCs w:val="24"/>
        </w:rPr>
        <w:t xml:space="preserve"> de este documento.</w:t>
      </w:r>
      <w:r>
        <w:t xml:space="preserve"> </w:t>
      </w:r>
    </w:p>
    <w:p w14:paraId="7B2F7849" w14:textId="77777777" w:rsidR="000F099B" w:rsidRPr="00785FFC" w:rsidRDefault="000F099B" w:rsidP="000F099B">
      <w:pPr>
        <w:pStyle w:val="Sinespaciado"/>
      </w:pPr>
    </w:p>
    <w:p w14:paraId="672683C6" w14:textId="77777777" w:rsidR="000F099B" w:rsidRDefault="000F099B" w:rsidP="000F099B">
      <w:pPr>
        <w:pStyle w:val="Sinespaciado"/>
        <w:rPr>
          <w:rFonts w:ascii="Open Sans" w:hAnsi="Open Sans" w:cs="Open Sans"/>
          <w:color w:val="000000" w:themeColor="text1"/>
          <w:szCs w:val="24"/>
        </w:rPr>
      </w:pPr>
      <w:r>
        <w:rPr>
          <w:rFonts w:ascii="Open Sans" w:hAnsi="Open Sans" w:cs="Open Sans"/>
          <w:color w:val="000000" w:themeColor="text1"/>
          <w:szCs w:val="24"/>
        </w:rPr>
        <w:lastRenderedPageBreak/>
        <w:t>A continuación, se presenta el nivel de cumplimiento de los objetivos de control y controles del Anexo A – ISO27001.</w:t>
      </w:r>
    </w:p>
    <w:p w14:paraId="4B9A3B7D" w14:textId="77777777" w:rsidR="000F099B" w:rsidRDefault="000F099B" w:rsidP="000F099B">
      <w:pPr>
        <w:pStyle w:val="Sinespaciado"/>
        <w:rPr>
          <w:rFonts w:ascii="Open Sans" w:hAnsi="Open Sans" w:cs="Open Sans"/>
          <w:color w:val="000000" w:themeColor="text1"/>
          <w:szCs w:val="24"/>
        </w:rPr>
      </w:pPr>
    </w:p>
    <w:p w14:paraId="76E90E36" w14:textId="77777777" w:rsidR="00696E45" w:rsidRPr="009A022D" w:rsidRDefault="00696E45" w:rsidP="00187127">
      <w:pPr>
        <w:pStyle w:val="Ttulo2"/>
        <w:keepNext/>
        <w:keepLines/>
        <w:widowControl/>
        <w:numPr>
          <w:ilvl w:val="1"/>
          <w:numId w:val="8"/>
        </w:numPr>
        <w:autoSpaceDE/>
        <w:autoSpaceDN/>
        <w:spacing w:before="120"/>
        <w:jc w:val="both"/>
        <w:rPr>
          <w:rFonts w:ascii="Open Sans" w:hAnsi="Open Sans" w:cs="Open Sans"/>
          <w:color w:val="000000" w:themeColor="text1"/>
        </w:rPr>
      </w:pPr>
      <w:r w:rsidRPr="009A022D">
        <w:rPr>
          <w:rFonts w:ascii="Open Sans" w:hAnsi="Open Sans" w:cs="Open Sans"/>
          <w:color w:val="000000" w:themeColor="text1"/>
        </w:rPr>
        <w:t>RESUMEN IMPLEMENTACIÓN ANEXO A</w:t>
      </w:r>
    </w:p>
    <w:p w14:paraId="65D32BB8" w14:textId="77777777" w:rsidR="00696E45" w:rsidRDefault="00696E45" w:rsidP="00696E45"/>
    <w:p w14:paraId="714126A7" w14:textId="77777777" w:rsidR="00696E45" w:rsidRDefault="00696E45" w:rsidP="00696E45">
      <w:r w:rsidRPr="00C37EF4">
        <w:rPr>
          <w:rFonts w:ascii="Open Sans" w:hAnsi="Open Sans" w:cs="Open Sans"/>
          <w:color w:val="000000" w:themeColor="text1"/>
          <w:szCs w:val="24"/>
        </w:rPr>
        <w:t xml:space="preserve">A continuación, se presenta un resumen del cumplimiento identificado en los objetivos de control y controles de seguridad, establecidos en el Anexo A </w:t>
      </w:r>
      <w:r>
        <w:rPr>
          <w:rFonts w:ascii="Open Sans" w:hAnsi="Open Sans" w:cs="Open Sans"/>
          <w:color w:val="000000" w:themeColor="text1"/>
          <w:szCs w:val="24"/>
        </w:rPr>
        <w:t>del estándar</w:t>
      </w:r>
      <w:r w:rsidRPr="00C37EF4">
        <w:rPr>
          <w:rFonts w:ascii="Open Sans" w:hAnsi="Open Sans" w:cs="Open Sans"/>
          <w:color w:val="000000" w:themeColor="text1"/>
          <w:szCs w:val="24"/>
        </w:rPr>
        <w:t xml:space="preserve"> ISO/IEC 27001:2013</w:t>
      </w:r>
      <w:r>
        <w:rPr>
          <w:rFonts w:ascii="Open Sans" w:hAnsi="Open Sans" w:cs="Open Sans"/>
          <w:color w:val="000000" w:themeColor="text1"/>
          <w:szCs w:val="24"/>
        </w:rPr>
        <w:t>:</w:t>
      </w:r>
      <w:r>
        <w:t xml:space="preserve"> </w:t>
      </w:r>
    </w:p>
    <w:p w14:paraId="6B74DBB0" w14:textId="77777777" w:rsidR="000F099B" w:rsidRDefault="00A94D11" w:rsidP="000F099B">
      <w:pPr>
        <w:pStyle w:val="Sinespaciado"/>
        <w:rPr>
          <w:rFonts w:ascii="Open Sans" w:hAnsi="Open Sans" w:cs="Open Sans"/>
          <w:color w:val="000000" w:themeColor="text1"/>
          <w:szCs w:val="24"/>
        </w:rPr>
      </w:pPr>
      <w:r>
        <w:rPr>
          <w:noProof/>
        </w:rPr>
        <w:drawing>
          <wp:anchor distT="0" distB="0" distL="114300" distR="114300" simplePos="0" relativeHeight="251661312" behindDoc="0" locked="0" layoutInCell="1" allowOverlap="1" wp14:anchorId="33260C33" wp14:editId="55AEC430">
            <wp:simplePos x="0" y="0"/>
            <wp:positionH relativeFrom="column">
              <wp:posOffset>-43815</wp:posOffset>
            </wp:positionH>
            <wp:positionV relativeFrom="paragraph">
              <wp:posOffset>473710</wp:posOffset>
            </wp:positionV>
            <wp:extent cx="6332220" cy="2590800"/>
            <wp:effectExtent l="0" t="0" r="11430" b="0"/>
            <wp:wrapTopAndBottom/>
            <wp:docPr id="535" name="Gráfico 535">
              <a:extLst xmlns:a="http://schemas.openxmlformats.org/drawingml/2006/main">
                <a:ext uri="{FF2B5EF4-FFF2-40B4-BE49-F238E27FC236}">
                  <a16:creationId xmlns:a16="http://schemas.microsoft.com/office/drawing/2014/main" id="{B10BD028-7EB8-4013-999A-B6768B7251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000F099B">
        <w:rPr>
          <w:noProof/>
          <w:lang w:val="es-CO" w:eastAsia="es-CO"/>
        </w:rPr>
        <w:drawing>
          <wp:inline distT="0" distB="0" distL="0" distR="0" wp14:anchorId="2CA9401A" wp14:editId="740CF70A">
            <wp:extent cx="5991225" cy="4257675"/>
            <wp:effectExtent l="0" t="0" r="9525" b="9525"/>
            <wp:docPr id="486" name="Gráfico 486">
              <a:extLst xmlns:a="http://schemas.openxmlformats.org/drawingml/2006/main">
                <a:ext uri="{FF2B5EF4-FFF2-40B4-BE49-F238E27FC236}">
                  <a16:creationId xmlns:a16="http://schemas.microsoft.com/office/drawing/2014/main" id="{A4FA8B36-E6EC-4662-B15D-2950F983F1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1CD510" w14:textId="77777777" w:rsidR="00680FB9" w:rsidRDefault="00680FB9" w:rsidP="000F099B">
      <w:pPr>
        <w:pStyle w:val="Sinespaciado"/>
        <w:rPr>
          <w:rFonts w:ascii="Open Sans" w:hAnsi="Open Sans" w:cs="Open Sans"/>
          <w:color w:val="000000" w:themeColor="text1"/>
          <w:szCs w:val="24"/>
        </w:rPr>
      </w:pPr>
    </w:p>
    <w:p w14:paraId="5626B6D4" w14:textId="77777777" w:rsidR="00680FB9" w:rsidRDefault="00680FB9" w:rsidP="000F099B">
      <w:pPr>
        <w:pStyle w:val="Sinespaciado"/>
        <w:rPr>
          <w:rFonts w:ascii="Open Sans" w:hAnsi="Open Sans" w:cs="Open Sans"/>
          <w:color w:val="000000" w:themeColor="text1"/>
          <w:szCs w:val="24"/>
        </w:rPr>
      </w:pPr>
    </w:p>
    <w:p w14:paraId="2640D223" w14:textId="77777777" w:rsidR="00680FB9" w:rsidRDefault="00680FB9" w:rsidP="000F099B">
      <w:pPr>
        <w:pStyle w:val="Sinespaciado"/>
        <w:rPr>
          <w:rFonts w:ascii="Open Sans" w:hAnsi="Open Sans" w:cs="Open Sans"/>
          <w:color w:val="000000" w:themeColor="text1"/>
          <w:szCs w:val="24"/>
        </w:rPr>
      </w:pPr>
    </w:p>
    <w:p w14:paraId="1FCA4A81" w14:textId="77777777" w:rsidR="00680FB9" w:rsidRDefault="00680FB9" w:rsidP="000F099B">
      <w:pPr>
        <w:pStyle w:val="Sinespaciado"/>
        <w:rPr>
          <w:rFonts w:ascii="Open Sans" w:hAnsi="Open Sans" w:cs="Open Sans"/>
          <w:color w:val="000000" w:themeColor="text1"/>
          <w:szCs w:val="24"/>
        </w:rPr>
      </w:pPr>
    </w:p>
    <w:p w14:paraId="2E98FCC6" w14:textId="77777777" w:rsidR="00680FB9" w:rsidRDefault="00680FB9" w:rsidP="000F099B">
      <w:pPr>
        <w:pStyle w:val="Sinespaciado"/>
        <w:rPr>
          <w:rFonts w:ascii="Open Sans" w:hAnsi="Open Sans" w:cs="Open Sans"/>
          <w:color w:val="000000" w:themeColor="text1"/>
          <w:szCs w:val="24"/>
        </w:rPr>
      </w:pPr>
    </w:p>
    <w:p w14:paraId="3E25FD77" w14:textId="77777777" w:rsidR="00680FB9" w:rsidRDefault="00680FB9" w:rsidP="000F099B">
      <w:pPr>
        <w:pStyle w:val="Sinespaciado"/>
        <w:rPr>
          <w:rFonts w:ascii="Open Sans" w:hAnsi="Open Sans" w:cs="Open Sans"/>
          <w:color w:val="000000" w:themeColor="text1"/>
          <w:szCs w:val="24"/>
        </w:rPr>
      </w:pPr>
      <w:r>
        <w:rPr>
          <w:noProof/>
          <w:lang w:val="es-CO" w:eastAsia="es-CO"/>
        </w:rPr>
        <w:drawing>
          <wp:inline distT="0" distB="0" distL="0" distR="0" wp14:anchorId="306E336B" wp14:editId="0EB76238">
            <wp:extent cx="6120130" cy="4648200"/>
            <wp:effectExtent l="0" t="0" r="13970" b="0"/>
            <wp:docPr id="537" name="Gráfico 537">
              <a:extLst xmlns:a="http://schemas.openxmlformats.org/drawingml/2006/main">
                <a:ext uri="{FF2B5EF4-FFF2-40B4-BE49-F238E27FC236}">
                  <a16:creationId xmlns:a16="http://schemas.microsoft.com/office/drawing/2014/main" id="{3CF868B7-4B89-45FC-9194-39AD280F3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2798749" w14:textId="77777777" w:rsidR="000F099B" w:rsidRDefault="000F099B" w:rsidP="000F099B">
      <w:pPr>
        <w:pStyle w:val="Sinespaciado"/>
      </w:pPr>
    </w:p>
    <w:p w14:paraId="1B47D92F" w14:textId="77777777" w:rsidR="000F099B" w:rsidRDefault="000F099B" w:rsidP="000F099B">
      <w:pPr>
        <w:pStyle w:val="Sinespaciado"/>
      </w:pPr>
    </w:p>
    <w:p w14:paraId="2E639580" w14:textId="77777777" w:rsidR="000F099B" w:rsidRDefault="000F099B" w:rsidP="000F099B">
      <w:pPr>
        <w:pStyle w:val="Descripcin"/>
        <w:jc w:val="center"/>
        <w:rPr>
          <w:rFonts w:cs="Open Sans"/>
          <w:b/>
          <w:color w:val="000000" w:themeColor="text1"/>
          <w:szCs w:val="24"/>
        </w:rPr>
      </w:pPr>
      <w:bookmarkStart w:id="61" w:name="_Toc528828157"/>
      <w:r w:rsidRPr="008C670E">
        <w:rPr>
          <w:rFonts w:cs="Open Sans"/>
          <w:color w:val="000000" w:themeColor="text1"/>
          <w:szCs w:val="24"/>
        </w:rPr>
        <w:t xml:space="preserve">Ilustración </w:t>
      </w:r>
      <w:r w:rsidRPr="008C670E">
        <w:rPr>
          <w:rFonts w:cs="Open Sans"/>
          <w:b/>
          <w:color w:val="000000" w:themeColor="text1"/>
          <w:szCs w:val="24"/>
        </w:rPr>
        <w:fldChar w:fldCharType="begin"/>
      </w:r>
      <w:r w:rsidRPr="008C670E">
        <w:rPr>
          <w:rFonts w:cs="Open Sans"/>
          <w:color w:val="000000" w:themeColor="text1"/>
          <w:szCs w:val="24"/>
        </w:rPr>
        <w:instrText xml:space="preserve"> SEQ Ilustración \* ARABIC </w:instrText>
      </w:r>
      <w:r w:rsidRPr="008C670E">
        <w:rPr>
          <w:rFonts w:cs="Open Sans"/>
          <w:b/>
          <w:color w:val="000000" w:themeColor="text1"/>
          <w:szCs w:val="24"/>
        </w:rPr>
        <w:fldChar w:fldCharType="separate"/>
      </w:r>
      <w:r w:rsidR="0098415C">
        <w:rPr>
          <w:rFonts w:cs="Open Sans"/>
          <w:noProof/>
          <w:color w:val="000000" w:themeColor="text1"/>
          <w:szCs w:val="24"/>
        </w:rPr>
        <w:t>6</w:t>
      </w:r>
      <w:r w:rsidRPr="008C670E">
        <w:rPr>
          <w:rFonts w:cs="Open Sans"/>
          <w:b/>
          <w:color w:val="000000" w:themeColor="text1"/>
          <w:szCs w:val="24"/>
        </w:rPr>
        <w:fldChar w:fldCharType="end"/>
      </w:r>
      <w:r w:rsidRPr="00C37EF4">
        <w:rPr>
          <w:rFonts w:cs="Open Sans"/>
          <w:color w:val="000000" w:themeColor="text1"/>
          <w:szCs w:val="24"/>
        </w:rPr>
        <w:t>. Estado ac</w:t>
      </w:r>
      <w:r>
        <w:rPr>
          <w:rFonts w:cs="Open Sans"/>
          <w:color w:val="000000" w:themeColor="text1"/>
          <w:szCs w:val="24"/>
        </w:rPr>
        <w:t>tual de cumplimiento de los objetivos de control del Anexo A - ISO 27001</w:t>
      </w:r>
      <w:r w:rsidRPr="00C37EF4">
        <w:rPr>
          <w:rFonts w:cs="Open Sans"/>
          <w:color w:val="000000" w:themeColor="text1"/>
          <w:szCs w:val="24"/>
        </w:rPr>
        <w:t>:201</w:t>
      </w:r>
      <w:r>
        <w:rPr>
          <w:rFonts w:cs="Open Sans"/>
          <w:color w:val="000000" w:themeColor="text1"/>
          <w:szCs w:val="24"/>
        </w:rPr>
        <w:t>5</w:t>
      </w:r>
      <w:bookmarkEnd w:id="61"/>
    </w:p>
    <w:p w14:paraId="3D6B1688" w14:textId="77777777" w:rsidR="000F099B" w:rsidRDefault="000F099B" w:rsidP="000F099B">
      <w:pPr>
        <w:pStyle w:val="Sinespaciado"/>
      </w:pPr>
    </w:p>
    <w:p w14:paraId="504C40BD" w14:textId="77777777" w:rsidR="000F099B" w:rsidRDefault="000F099B" w:rsidP="000F099B">
      <w:pPr>
        <w:pStyle w:val="Sinespaciado"/>
      </w:pPr>
    </w:p>
    <w:p w14:paraId="185C6AA1" w14:textId="77777777" w:rsidR="000F099B" w:rsidRPr="00C37EF4" w:rsidRDefault="000F099B" w:rsidP="00187127">
      <w:pPr>
        <w:pStyle w:val="Ttulo2"/>
        <w:keepNext/>
        <w:keepLines/>
        <w:widowControl/>
        <w:numPr>
          <w:ilvl w:val="1"/>
          <w:numId w:val="8"/>
        </w:numPr>
        <w:autoSpaceDE/>
        <w:autoSpaceDN/>
        <w:spacing w:before="120"/>
        <w:jc w:val="both"/>
        <w:rPr>
          <w:rFonts w:ascii="Open Sans" w:hAnsi="Open Sans" w:cs="Open Sans"/>
          <w:color w:val="000000" w:themeColor="text1"/>
        </w:rPr>
      </w:pPr>
      <w:bookmarkStart w:id="62" w:name="_Toc518815698"/>
      <w:bookmarkStart w:id="63" w:name="_Toc528775205"/>
      <w:r w:rsidRPr="00C37EF4">
        <w:rPr>
          <w:rFonts w:ascii="Open Sans" w:hAnsi="Open Sans" w:cs="Open Sans"/>
          <w:color w:val="000000" w:themeColor="text1"/>
        </w:rPr>
        <w:t xml:space="preserve">ANÁLISIS DE MADUREZ DEL </w:t>
      </w:r>
      <w:bookmarkEnd w:id="62"/>
      <w:r w:rsidRPr="00C37EF4">
        <w:rPr>
          <w:rFonts w:ascii="Open Sans" w:hAnsi="Open Sans" w:cs="Open Sans"/>
          <w:color w:val="000000" w:themeColor="text1"/>
        </w:rPr>
        <w:t>ANEXO A</w:t>
      </w:r>
      <w:bookmarkEnd w:id="63"/>
    </w:p>
    <w:p w14:paraId="2C735F68" w14:textId="77777777" w:rsidR="000F099B" w:rsidRDefault="000F099B" w:rsidP="000F099B">
      <w:pPr>
        <w:pStyle w:val="Sinespaciado"/>
      </w:pPr>
    </w:p>
    <w:p w14:paraId="611FE61B" w14:textId="77777777" w:rsidR="000F099B" w:rsidRDefault="000F099B" w:rsidP="000F099B">
      <w:pPr>
        <w:tabs>
          <w:tab w:val="left" w:pos="2605"/>
        </w:tabs>
        <w:rPr>
          <w:rFonts w:ascii="Open Sans" w:eastAsia="Open Sans" w:hAnsi="Open Sans" w:cs="Open Sans"/>
          <w:color w:val="000000"/>
        </w:rPr>
      </w:pPr>
      <w:r>
        <w:rPr>
          <w:rFonts w:ascii="Open Sans" w:eastAsia="Open Sans" w:hAnsi="Open Sans" w:cs="Open Sans"/>
          <w:color w:val="000000"/>
        </w:rPr>
        <w:t>A continuación, se presenta el nivel de madurez identificado para cada uno de los dominios y objetivos de control, el cual se obtuvo después de promediar el porcentaje del nivel de madurez de cada uno de los controles de seguridad de información establecidos en el Anexo A de ISO/IEC 27001:2013, frente al nivel de Madurez esperado para el año 2018 de la entidad.</w:t>
      </w:r>
    </w:p>
    <w:p w14:paraId="1FCB8509" w14:textId="77777777" w:rsidR="000F099B" w:rsidRPr="00244720" w:rsidRDefault="000F099B" w:rsidP="000F099B">
      <w:pPr>
        <w:pStyle w:val="Sinespaciado"/>
      </w:pPr>
    </w:p>
    <w:tbl>
      <w:tblPr>
        <w:tblW w:w="9651" w:type="dxa"/>
        <w:tblCellMar>
          <w:left w:w="70" w:type="dxa"/>
          <w:right w:w="70" w:type="dxa"/>
        </w:tblCellMar>
        <w:tblLook w:val="04A0" w:firstRow="1" w:lastRow="0" w:firstColumn="1" w:lastColumn="0" w:noHBand="0" w:noVBand="1"/>
      </w:tblPr>
      <w:tblGrid>
        <w:gridCol w:w="5670"/>
        <w:gridCol w:w="1985"/>
        <w:gridCol w:w="1996"/>
      </w:tblGrid>
      <w:tr w:rsidR="000F099B" w:rsidRPr="00051D0F" w14:paraId="7E7ADCE1" w14:textId="77777777" w:rsidTr="000F099B">
        <w:trPr>
          <w:trHeight w:val="212"/>
        </w:trPr>
        <w:tc>
          <w:tcPr>
            <w:tcW w:w="5670" w:type="dxa"/>
            <w:tcBorders>
              <w:top w:val="nil"/>
              <w:left w:val="nil"/>
              <w:bottom w:val="nil"/>
              <w:right w:val="nil"/>
            </w:tcBorders>
            <w:shd w:val="clear" w:color="auto" w:fill="auto"/>
            <w:vAlign w:val="center"/>
            <w:hideMark/>
          </w:tcPr>
          <w:p w14:paraId="5DBB5AF9" w14:textId="77777777" w:rsidR="000F099B" w:rsidRPr="00051D0F" w:rsidRDefault="000F099B" w:rsidP="000F099B">
            <w:pPr>
              <w:rPr>
                <w:rFonts w:ascii="Times New Roman" w:eastAsia="Times New Roman" w:hAnsi="Times New Roman" w:cs="Times New Roman"/>
                <w:sz w:val="24"/>
                <w:szCs w:val="24"/>
                <w:lang w:val="es-CO" w:eastAsia="es-CO"/>
              </w:rPr>
            </w:pPr>
          </w:p>
        </w:tc>
        <w:tc>
          <w:tcPr>
            <w:tcW w:w="398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79DDED7" w14:textId="77777777" w:rsidR="000F099B" w:rsidRPr="00051D0F" w:rsidRDefault="000F099B" w:rsidP="000F099B">
            <w:pPr>
              <w:jc w:val="center"/>
              <w:rPr>
                <w:rFonts w:ascii="Calibri" w:eastAsia="Times New Roman" w:hAnsi="Calibri" w:cs="Calibri"/>
                <w:b/>
                <w:bCs/>
                <w:color w:val="000000"/>
                <w:sz w:val="20"/>
                <w:szCs w:val="20"/>
                <w:lang w:val="es-CO" w:eastAsia="es-CO"/>
              </w:rPr>
            </w:pPr>
            <w:r w:rsidRPr="00051D0F">
              <w:rPr>
                <w:rFonts w:ascii="Calibri" w:eastAsia="Times New Roman" w:hAnsi="Calibri" w:cs="Calibri"/>
                <w:b/>
                <w:bCs/>
                <w:color w:val="000000"/>
                <w:sz w:val="20"/>
                <w:szCs w:val="20"/>
                <w:lang w:val="es-CO" w:eastAsia="es-CO"/>
              </w:rPr>
              <w:t>Nivel de Madurez</w:t>
            </w:r>
          </w:p>
        </w:tc>
      </w:tr>
      <w:tr w:rsidR="000F099B" w:rsidRPr="00051D0F" w14:paraId="1BCC0414" w14:textId="77777777" w:rsidTr="000F099B">
        <w:trPr>
          <w:trHeight w:val="212"/>
        </w:trPr>
        <w:tc>
          <w:tcPr>
            <w:tcW w:w="56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A78B0D4" w14:textId="77777777" w:rsidR="000F099B" w:rsidRPr="00051D0F" w:rsidRDefault="000F099B" w:rsidP="000F099B">
            <w:pPr>
              <w:rPr>
                <w:rFonts w:ascii="Calibri" w:eastAsia="Times New Roman" w:hAnsi="Calibri" w:cs="Calibri"/>
                <w:b/>
                <w:bCs/>
                <w:color w:val="000000"/>
                <w:sz w:val="20"/>
                <w:szCs w:val="20"/>
                <w:lang w:val="es-CO" w:eastAsia="es-CO"/>
              </w:rPr>
            </w:pPr>
            <w:r w:rsidRPr="00051D0F">
              <w:rPr>
                <w:rFonts w:ascii="Calibri" w:eastAsia="Times New Roman" w:hAnsi="Calibri" w:cs="Calibri"/>
                <w:b/>
                <w:bCs/>
                <w:color w:val="000000"/>
                <w:sz w:val="20"/>
                <w:szCs w:val="20"/>
                <w:lang w:val="es-CO" w:eastAsia="es-CO"/>
              </w:rPr>
              <w:t>REQUERIMIENTOS - SGSI</w:t>
            </w:r>
          </w:p>
        </w:tc>
        <w:tc>
          <w:tcPr>
            <w:tcW w:w="1985" w:type="dxa"/>
            <w:tcBorders>
              <w:top w:val="nil"/>
              <w:left w:val="nil"/>
              <w:bottom w:val="single" w:sz="4" w:space="0" w:color="auto"/>
              <w:right w:val="single" w:sz="4" w:space="0" w:color="auto"/>
            </w:tcBorders>
            <w:shd w:val="clear" w:color="000000" w:fill="D9D9D9"/>
            <w:vAlign w:val="center"/>
            <w:hideMark/>
          </w:tcPr>
          <w:p w14:paraId="1324900E" w14:textId="77777777" w:rsidR="000F099B" w:rsidRPr="00051D0F" w:rsidRDefault="000F099B" w:rsidP="000F099B">
            <w:pPr>
              <w:jc w:val="center"/>
              <w:rPr>
                <w:rFonts w:ascii="Calibri" w:eastAsia="Times New Roman" w:hAnsi="Calibri" w:cs="Calibri"/>
                <w:b/>
                <w:bCs/>
                <w:color w:val="000000"/>
                <w:lang w:val="es-CO" w:eastAsia="es-CO"/>
              </w:rPr>
            </w:pPr>
            <w:r w:rsidRPr="00051D0F">
              <w:rPr>
                <w:rFonts w:ascii="Calibri" w:eastAsia="Times New Roman" w:hAnsi="Calibri" w:cs="Calibri"/>
                <w:b/>
                <w:bCs/>
                <w:color w:val="000000"/>
                <w:lang w:val="es-CO" w:eastAsia="es-CO"/>
              </w:rPr>
              <w:t>Nivel Actual</w:t>
            </w:r>
          </w:p>
        </w:tc>
        <w:tc>
          <w:tcPr>
            <w:tcW w:w="1996" w:type="dxa"/>
            <w:tcBorders>
              <w:top w:val="nil"/>
              <w:left w:val="nil"/>
              <w:bottom w:val="single" w:sz="4" w:space="0" w:color="auto"/>
              <w:right w:val="single" w:sz="4" w:space="0" w:color="auto"/>
            </w:tcBorders>
            <w:shd w:val="clear" w:color="000000" w:fill="D9D9D9"/>
            <w:vAlign w:val="center"/>
            <w:hideMark/>
          </w:tcPr>
          <w:p w14:paraId="7CB73728" w14:textId="77777777" w:rsidR="000F099B" w:rsidRPr="00051D0F" w:rsidRDefault="000F099B" w:rsidP="000F099B">
            <w:pPr>
              <w:jc w:val="center"/>
              <w:rPr>
                <w:rFonts w:ascii="Calibri" w:eastAsia="Times New Roman" w:hAnsi="Calibri" w:cs="Calibri"/>
                <w:b/>
                <w:bCs/>
                <w:color w:val="000000"/>
                <w:lang w:val="es-CO" w:eastAsia="es-CO"/>
              </w:rPr>
            </w:pPr>
            <w:r w:rsidRPr="00051D0F">
              <w:rPr>
                <w:rFonts w:ascii="Calibri" w:eastAsia="Times New Roman" w:hAnsi="Calibri" w:cs="Calibri"/>
                <w:b/>
                <w:bCs/>
                <w:color w:val="000000"/>
                <w:lang w:val="es-CO" w:eastAsia="es-CO"/>
              </w:rPr>
              <w:t>Nivel Deseado</w:t>
            </w:r>
          </w:p>
        </w:tc>
      </w:tr>
      <w:tr w:rsidR="000F099B" w:rsidRPr="00051D0F" w14:paraId="2ED63E4F" w14:textId="77777777" w:rsidTr="000F099B">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7CC52131" w14:textId="77777777" w:rsidR="000F099B" w:rsidRPr="00051D0F" w:rsidRDefault="000F099B" w:rsidP="000F099B">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POLÍTICAS DE SEGURIDAD DE LA INFORMACIÓN</w:t>
            </w:r>
          </w:p>
        </w:tc>
        <w:tc>
          <w:tcPr>
            <w:tcW w:w="1985" w:type="dxa"/>
            <w:tcBorders>
              <w:top w:val="nil"/>
              <w:left w:val="nil"/>
              <w:bottom w:val="single" w:sz="4" w:space="0" w:color="auto"/>
              <w:right w:val="single" w:sz="4" w:space="0" w:color="auto"/>
            </w:tcBorders>
            <w:shd w:val="clear" w:color="auto" w:fill="auto"/>
            <w:vAlign w:val="center"/>
            <w:hideMark/>
          </w:tcPr>
          <w:p w14:paraId="31976244"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80%</w:t>
            </w:r>
          </w:p>
        </w:tc>
        <w:tc>
          <w:tcPr>
            <w:tcW w:w="1996" w:type="dxa"/>
            <w:tcBorders>
              <w:top w:val="nil"/>
              <w:left w:val="nil"/>
              <w:bottom w:val="single" w:sz="4" w:space="0" w:color="auto"/>
              <w:right w:val="single" w:sz="4" w:space="0" w:color="auto"/>
            </w:tcBorders>
            <w:shd w:val="clear" w:color="auto" w:fill="auto"/>
            <w:vAlign w:val="center"/>
            <w:hideMark/>
          </w:tcPr>
          <w:p w14:paraId="17A1A226"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0F099B" w:rsidRPr="00051D0F" w14:paraId="078900B0" w14:textId="77777777" w:rsidTr="000F099B">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6C212082" w14:textId="77777777" w:rsidR="000F099B" w:rsidRPr="00051D0F" w:rsidRDefault="000F099B" w:rsidP="000F099B">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ORGANIZACIÓN DE LA SEGURIDAD DE LA INFORMACIÓN</w:t>
            </w:r>
          </w:p>
        </w:tc>
        <w:tc>
          <w:tcPr>
            <w:tcW w:w="1985" w:type="dxa"/>
            <w:tcBorders>
              <w:top w:val="nil"/>
              <w:left w:val="nil"/>
              <w:bottom w:val="single" w:sz="4" w:space="0" w:color="auto"/>
              <w:right w:val="single" w:sz="4" w:space="0" w:color="auto"/>
            </w:tcBorders>
            <w:shd w:val="clear" w:color="auto" w:fill="auto"/>
            <w:vAlign w:val="center"/>
            <w:hideMark/>
          </w:tcPr>
          <w:p w14:paraId="4DE903D3"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32%</w:t>
            </w:r>
          </w:p>
        </w:tc>
        <w:tc>
          <w:tcPr>
            <w:tcW w:w="1996" w:type="dxa"/>
            <w:tcBorders>
              <w:top w:val="nil"/>
              <w:left w:val="nil"/>
              <w:bottom w:val="single" w:sz="4" w:space="0" w:color="auto"/>
              <w:right w:val="single" w:sz="4" w:space="0" w:color="auto"/>
            </w:tcBorders>
            <w:shd w:val="clear" w:color="auto" w:fill="auto"/>
            <w:vAlign w:val="center"/>
            <w:hideMark/>
          </w:tcPr>
          <w:p w14:paraId="7F44A55E"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0F099B" w:rsidRPr="00051D0F" w14:paraId="2A1645BE" w14:textId="77777777" w:rsidTr="000F099B">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2DEC0507" w14:textId="77777777" w:rsidR="000F099B" w:rsidRPr="00051D0F" w:rsidRDefault="000F099B" w:rsidP="000F099B">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SEGURIDAD DE LOS RECURSOS HUMANOS</w:t>
            </w:r>
          </w:p>
        </w:tc>
        <w:tc>
          <w:tcPr>
            <w:tcW w:w="1985" w:type="dxa"/>
            <w:tcBorders>
              <w:top w:val="nil"/>
              <w:left w:val="nil"/>
              <w:bottom w:val="single" w:sz="4" w:space="0" w:color="auto"/>
              <w:right w:val="single" w:sz="4" w:space="0" w:color="auto"/>
            </w:tcBorders>
            <w:shd w:val="clear" w:color="auto" w:fill="auto"/>
            <w:vAlign w:val="center"/>
            <w:hideMark/>
          </w:tcPr>
          <w:p w14:paraId="5289B402"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56%</w:t>
            </w:r>
          </w:p>
        </w:tc>
        <w:tc>
          <w:tcPr>
            <w:tcW w:w="1996" w:type="dxa"/>
            <w:tcBorders>
              <w:top w:val="nil"/>
              <w:left w:val="nil"/>
              <w:bottom w:val="single" w:sz="4" w:space="0" w:color="auto"/>
              <w:right w:val="single" w:sz="4" w:space="0" w:color="auto"/>
            </w:tcBorders>
            <w:shd w:val="clear" w:color="auto" w:fill="auto"/>
            <w:vAlign w:val="center"/>
            <w:hideMark/>
          </w:tcPr>
          <w:p w14:paraId="07CBA219"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0F099B" w:rsidRPr="00051D0F" w14:paraId="5B89C9DD" w14:textId="77777777" w:rsidTr="000F099B">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337E4764" w14:textId="77777777" w:rsidR="000F099B" w:rsidRPr="00051D0F" w:rsidRDefault="000F099B" w:rsidP="000F099B">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lastRenderedPageBreak/>
              <w:t>GESTIÓN DE ACTIVOS</w:t>
            </w:r>
          </w:p>
        </w:tc>
        <w:tc>
          <w:tcPr>
            <w:tcW w:w="1985" w:type="dxa"/>
            <w:tcBorders>
              <w:top w:val="nil"/>
              <w:left w:val="nil"/>
              <w:bottom w:val="single" w:sz="4" w:space="0" w:color="auto"/>
              <w:right w:val="single" w:sz="4" w:space="0" w:color="auto"/>
            </w:tcBorders>
            <w:shd w:val="clear" w:color="auto" w:fill="auto"/>
            <w:vAlign w:val="center"/>
            <w:hideMark/>
          </w:tcPr>
          <w:p w14:paraId="0E85981B"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32%</w:t>
            </w:r>
          </w:p>
        </w:tc>
        <w:tc>
          <w:tcPr>
            <w:tcW w:w="1996" w:type="dxa"/>
            <w:tcBorders>
              <w:top w:val="nil"/>
              <w:left w:val="nil"/>
              <w:bottom w:val="single" w:sz="4" w:space="0" w:color="auto"/>
              <w:right w:val="single" w:sz="4" w:space="0" w:color="auto"/>
            </w:tcBorders>
            <w:shd w:val="clear" w:color="auto" w:fill="auto"/>
            <w:vAlign w:val="center"/>
            <w:hideMark/>
          </w:tcPr>
          <w:p w14:paraId="3628EFF1"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0F099B" w:rsidRPr="00051D0F" w14:paraId="7C5AE2C1" w14:textId="77777777" w:rsidTr="000F099B">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501210E8" w14:textId="77777777" w:rsidR="000F099B" w:rsidRPr="00051D0F" w:rsidRDefault="000F099B" w:rsidP="000F099B">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CONTROL DE ACCESO</w:t>
            </w:r>
          </w:p>
        </w:tc>
        <w:tc>
          <w:tcPr>
            <w:tcW w:w="1985" w:type="dxa"/>
            <w:tcBorders>
              <w:top w:val="nil"/>
              <w:left w:val="nil"/>
              <w:bottom w:val="single" w:sz="4" w:space="0" w:color="auto"/>
              <w:right w:val="single" w:sz="4" w:space="0" w:color="auto"/>
            </w:tcBorders>
            <w:shd w:val="clear" w:color="auto" w:fill="auto"/>
            <w:vAlign w:val="center"/>
            <w:hideMark/>
          </w:tcPr>
          <w:p w14:paraId="601F6427"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60%</w:t>
            </w:r>
          </w:p>
        </w:tc>
        <w:tc>
          <w:tcPr>
            <w:tcW w:w="1996" w:type="dxa"/>
            <w:tcBorders>
              <w:top w:val="nil"/>
              <w:left w:val="nil"/>
              <w:bottom w:val="single" w:sz="4" w:space="0" w:color="auto"/>
              <w:right w:val="single" w:sz="4" w:space="0" w:color="auto"/>
            </w:tcBorders>
            <w:shd w:val="clear" w:color="auto" w:fill="auto"/>
            <w:vAlign w:val="center"/>
            <w:hideMark/>
          </w:tcPr>
          <w:p w14:paraId="2F521E23"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0F099B" w:rsidRPr="00051D0F" w14:paraId="7EF78E9E" w14:textId="77777777" w:rsidTr="000F099B">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45B9EF3D" w14:textId="77777777" w:rsidR="000F099B" w:rsidRPr="00051D0F" w:rsidRDefault="000F099B" w:rsidP="000F099B">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CRIPTOGRAFÍA</w:t>
            </w:r>
          </w:p>
        </w:tc>
        <w:tc>
          <w:tcPr>
            <w:tcW w:w="1985" w:type="dxa"/>
            <w:tcBorders>
              <w:top w:val="nil"/>
              <w:left w:val="nil"/>
              <w:bottom w:val="single" w:sz="4" w:space="0" w:color="auto"/>
              <w:right w:val="single" w:sz="4" w:space="0" w:color="auto"/>
            </w:tcBorders>
            <w:shd w:val="clear" w:color="auto" w:fill="auto"/>
            <w:vAlign w:val="center"/>
            <w:hideMark/>
          </w:tcPr>
          <w:p w14:paraId="091BCB02"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20%</w:t>
            </w:r>
          </w:p>
        </w:tc>
        <w:tc>
          <w:tcPr>
            <w:tcW w:w="1996" w:type="dxa"/>
            <w:tcBorders>
              <w:top w:val="nil"/>
              <w:left w:val="nil"/>
              <w:bottom w:val="single" w:sz="4" w:space="0" w:color="auto"/>
              <w:right w:val="single" w:sz="4" w:space="0" w:color="auto"/>
            </w:tcBorders>
            <w:shd w:val="clear" w:color="auto" w:fill="auto"/>
            <w:vAlign w:val="center"/>
            <w:hideMark/>
          </w:tcPr>
          <w:p w14:paraId="0A47C906"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0F099B" w:rsidRPr="00051D0F" w14:paraId="47E144C2" w14:textId="77777777" w:rsidTr="000F099B">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7A274060" w14:textId="77777777" w:rsidR="000F099B" w:rsidRPr="00051D0F" w:rsidRDefault="000F099B" w:rsidP="000F099B">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SEGURIDAD FÍSICA Y DEL ENTORNO</w:t>
            </w:r>
          </w:p>
        </w:tc>
        <w:tc>
          <w:tcPr>
            <w:tcW w:w="1985" w:type="dxa"/>
            <w:tcBorders>
              <w:top w:val="nil"/>
              <w:left w:val="nil"/>
              <w:bottom w:val="single" w:sz="4" w:space="0" w:color="auto"/>
              <w:right w:val="single" w:sz="4" w:space="0" w:color="auto"/>
            </w:tcBorders>
            <w:shd w:val="clear" w:color="auto" w:fill="auto"/>
            <w:vAlign w:val="center"/>
            <w:hideMark/>
          </w:tcPr>
          <w:p w14:paraId="4EDDA22D"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59%</w:t>
            </w:r>
          </w:p>
        </w:tc>
        <w:tc>
          <w:tcPr>
            <w:tcW w:w="1996" w:type="dxa"/>
            <w:tcBorders>
              <w:top w:val="nil"/>
              <w:left w:val="nil"/>
              <w:bottom w:val="single" w:sz="4" w:space="0" w:color="auto"/>
              <w:right w:val="single" w:sz="4" w:space="0" w:color="auto"/>
            </w:tcBorders>
            <w:shd w:val="clear" w:color="auto" w:fill="auto"/>
            <w:vAlign w:val="center"/>
            <w:hideMark/>
          </w:tcPr>
          <w:p w14:paraId="27A38991"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0F099B" w:rsidRPr="00051D0F" w14:paraId="20C97641" w14:textId="77777777" w:rsidTr="000F099B">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2817B273" w14:textId="77777777" w:rsidR="000F099B" w:rsidRPr="00051D0F" w:rsidRDefault="000F099B" w:rsidP="000F099B">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SEGURIDAD DE LAS OPERACIONES</w:t>
            </w:r>
          </w:p>
        </w:tc>
        <w:tc>
          <w:tcPr>
            <w:tcW w:w="1985" w:type="dxa"/>
            <w:tcBorders>
              <w:top w:val="nil"/>
              <w:left w:val="nil"/>
              <w:bottom w:val="single" w:sz="4" w:space="0" w:color="auto"/>
              <w:right w:val="single" w:sz="4" w:space="0" w:color="auto"/>
            </w:tcBorders>
            <w:shd w:val="clear" w:color="auto" w:fill="auto"/>
            <w:vAlign w:val="center"/>
            <w:hideMark/>
          </w:tcPr>
          <w:p w14:paraId="3025B5CD"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72%</w:t>
            </w:r>
          </w:p>
        </w:tc>
        <w:tc>
          <w:tcPr>
            <w:tcW w:w="1996" w:type="dxa"/>
            <w:tcBorders>
              <w:top w:val="nil"/>
              <w:left w:val="nil"/>
              <w:bottom w:val="single" w:sz="4" w:space="0" w:color="auto"/>
              <w:right w:val="single" w:sz="4" w:space="0" w:color="auto"/>
            </w:tcBorders>
            <w:shd w:val="clear" w:color="auto" w:fill="auto"/>
            <w:vAlign w:val="center"/>
            <w:hideMark/>
          </w:tcPr>
          <w:p w14:paraId="31BC5303"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0F099B" w:rsidRPr="00051D0F" w14:paraId="04AACA72" w14:textId="77777777" w:rsidTr="000F099B">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6BCA5F1F" w14:textId="77777777" w:rsidR="000F099B" w:rsidRPr="00051D0F" w:rsidRDefault="000F099B" w:rsidP="000F099B">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SEGURIDAD DE LAS COMUNICACIONES</w:t>
            </w:r>
          </w:p>
        </w:tc>
        <w:tc>
          <w:tcPr>
            <w:tcW w:w="1985" w:type="dxa"/>
            <w:tcBorders>
              <w:top w:val="nil"/>
              <w:left w:val="nil"/>
              <w:bottom w:val="single" w:sz="4" w:space="0" w:color="auto"/>
              <w:right w:val="single" w:sz="4" w:space="0" w:color="auto"/>
            </w:tcBorders>
            <w:shd w:val="clear" w:color="auto" w:fill="auto"/>
            <w:vAlign w:val="center"/>
            <w:hideMark/>
          </w:tcPr>
          <w:p w14:paraId="4DB01B5A"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76%</w:t>
            </w:r>
          </w:p>
        </w:tc>
        <w:tc>
          <w:tcPr>
            <w:tcW w:w="1996" w:type="dxa"/>
            <w:tcBorders>
              <w:top w:val="nil"/>
              <w:left w:val="nil"/>
              <w:bottom w:val="single" w:sz="4" w:space="0" w:color="auto"/>
              <w:right w:val="single" w:sz="4" w:space="0" w:color="auto"/>
            </w:tcBorders>
            <w:shd w:val="clear" w:color="auto" w:fill="auto"/>
            <w:vAlign w:val="center"/>
            <w:hideMark/>
          </w:tcPr>
          <w:p w14:paraId="78162588"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0F099B" w:rsidRPr="00051D0F" w14:paraId="2023F13F" w14:textId="77777777" w:rsidTr="000F099B">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27252A98" w14:textId="77777777" w:rsidR="000F099B" w:rsidRPr="00051D0F" w:rsidRDefault="000F099B" w:rsidP="000F099B">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ADQUISICIÓN, DESARROLLO Y MANTENIEMIENTO DE SISTEMAS</w:t>
            </w:r>
          </w:p>
        </w:tc>
        <w:tc>
          <w:tcPr>
            <w:tcW w:w="1985" w:type="dxa"/>
            <w:tcBorders>
              <w:top w:val="nil"/>
              <w:left w:val="nil"/>
              <w:bottom w:val="single" w:sz="4" w:space="0" w:color="auto"/>
              <w:right w:val="single" w:sz="4" w:space="0" w:color="auto"/>
            </w:tcBorders>
            <w:shd w:val="clear" w:color="auto" w:fill="auto"/>
            <w:vAlign w:val="center"/>
            <w:hideMark/>
          </w:tcPr>
          <w:p w14:paraId="57DFBF04" w14:textId="77777777" w:rsidR="000F099B" w:rsidRPr="00051D0F" w:rsidRDefault="000F099B" w:rsidP="000F099B">
            <w:pPr>
              <w:jc w:val="center"/>
              <w:rPr>
                <w:rFonts w:ascii="Calibri" w:eastAsia="Times New Roman" w:hAnsi="Calibri" w:cs="Calibri"/>
                <w:color w:val="000000"/>
                <w:sz w:val="20"/>
                <w:szCs w:val="20"/>
                <w:lang w:val="es-CO" w:eastAsia="es-CO"/>
              </w:rPr>
            </w:pPr>
            <w:r>
              <w:rPr>
                <w:rFonts w:ascii="Calibri" w:eastAsia="Times New Roman" w:hAnsi="Calibri" w:cs="Calibri"/>
                <w:color w:val="000000"/>
                <w:sz w:val="20"/>
                <w:szCs w:val="20"/>
                <w:lang w:val="es-CO" w:eastAsia="es-CO"/>
              </w:rPr>
              <w:t>2</w:t>
            </w:r>
            <w:r w:rsidRPr="00051D0F">
              <w:rPr>
                <w:rFonts w:ascii="Calibri" w:eastAsia="Times New Roman" w:hAnsi="Calibri" w:cs="Calibri"/>
                <w:color w:val="000000"/>
                <w:sz w:val="20"/>
                <w:szCs w:val="20"/>
                <w:lang w:val="es-CO" w:eastAsia="es-CO"/>
              </w:rPr>
              <w:t>%</w:t>
            </w:r>
          </w:p>
        </w:tc>
        <w:tc>
          <w:tcPr>
            <w:tcW w:w="1996" w:type="dxa"/>
            <w:tcBorders>
              <w:top w:val="nil"/>
              <w:left w:val="nil"/>
              <w:bottom w:val="single" w:sz="4" w:space="0" w:color="auto"/>
              <w:right w:val="single" w:sz="4" w:space="0" w:color="auto"/>
            </w:tcBorders>
            <w:shd w:val="clear" w:color="auto" w:fill="auto"/>
            <w:vAlign w:val="center"/>
            <w:hideMark/>
          </w:tcPr>
          <w:p w14:paraId="3DAFE654"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0F099B" w:rsidRPr="00051D0F" w14:paraId="51FA5A6A" w14:textId="77777777" w:rsidTr="000F099B">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1DEAB15D" w14:textId="77777777" w:rsidR="000F099B" w:rsidRPr="00051D0F" w:rsidRDefault="000F099B" w:rsidP="000F099B">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RELACIONES CON LOS PROVEEDORES</w:t>
            </w:r>
          </w:p>
        </w:tc>
        <w:tc>
          <w:tcPr>
            <w:tcW w:w="1985" w:type="dxa"/>
            <w:tcBorders>
              <w:top w:val="nil"/>
              <w:left w:val="nil"/>
              <w:bottom w:val="single" w:sz="4" w:space="0" w:color="auto"/>
              <w:right w:val="single" w:sz="4" w:space="0" w:color="auto"/>
            </w:tcBorders>
            <w:shd w:val="clear" w:color="auto" w:fill="auto"/>
            <w:vAlign w:val="center"/>
            <w:hideMark/>
          </w:tcPr>
          <w:p w14:paraId="4FA30E75"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38%</w:t>
            </w:r>
          </w:p>
        </w:tc>
        <w:tc>
          <w:tcPr>
            <w:tcW w:w="1996" w:type="dxa"/>
            <w:tcBorders>
              <w:top w:val="nil"/>
              <w:left w:val="nil"/>
              <w:bottom w:val="single" w:sz="4" w:space="0" w:color="auto"/>
              <w:right w:val="single" w:sz="4" w:space="0" w:color="auto"/>
            </w:tcBorders>
            <w:shd w:val="clear" w:color="auto" w:fill="auto"/>
            <w:vAlign w:val="center"/>
            <w:hideMark/>
          </w:tcPr>
          <w:p w14:paraId="3D6E77E5"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0F099B" w:rsidRPr="00051D0F" w14:paraId="4E6C6D09" w14:textId="77777777" w:rsidTr="000F099B">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0C6B86A1" w14:textId="77777777" w:rsidR="000F099B" w:rsidRPr="00051D0F" w:rsidRDefault="000F099B" w:rsidP="000F099B">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GESTIÓN DE INCIDENTES DE SEGURIDAD DE LA INFORMACIÓN</w:t>
            </w:r>
          </w:p>
        </w:tc>
        <w:tc>
          <w:tcPr>
            <w:tcW w:w="1985" w:type="dxa"/>
            <w:tcBorders>
              <w:top w:val="nil"/>
              <w:left w:val="nil"/>
              <w:bottom w:val="single" w:sz="4" w:space="0" w:color="auto"/>
              <w:right w:val="single" w:sz="4" w:space="0" w:color="auto"/>
            </w:tcBorders>
            <w:shd w:val="clear" w:color="auto" w:fill="auto"/>
            <w:vAlign w:val="center"/>
            <w:hideMark/>
          </w:tcPr>
          <w:p w14:paraId="1418741B"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20%</w:t>
            </w:r>
          </w:p>
        </w:tc>
        <w:tc>
          <w:tcPr>
            <w:tcW w:w="1996" w:type="dxa"/>
            <w:tcBorders>
              <w:top w:val="nil"/>
              <w:left w:val="nil"/>
              <w:bottom w:val="single" w:sz="4" w:space="0" w:color="auto"/>
              <w:right w:val="single" w:sz="4" w:space="0" w:color="auto"/>
            </w:tcBorders>
            <w:shd w:val="clear" w:color="auto" w:fill="auto"/>
            <w:vAlign w:val="center"/>
            <w:hideMark/>
          </w:tcPr>
          <w:p w14:paraId="092AEA55"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0F099B" w:rsidRPr="00051D0F" w14:paraId="73248CDD" w14:textId="77777777" w:rsidTr="000F099B">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309FC7EA" w14:textId="77777777" w:rsidR="000F099B" w:rsidRPr="00051D0F" w:rsidRDefault="000F099B" w:rsidP="000F099B">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ASPECTOS DE SEGURIDAD DE LA INFORMACIÓN DE LA GESTIÓN DE CONTINUIDAD DE NEGOCIO</w:t>
            </w:r>
          </w:p>
        </w:tc>
        <w:tc>
          <w:tcPr>
            <w:tcW w:w="1985" w:type="dxa"/>
            <w:tcBorders>
              <w:top w:val="nil"/>
              <w:left w:val="nil"/>
              <w:bottom w:val="single" w:sz="4" w:space="0" w:color="auto"/>
              <w:right w:val="single" w:sz="4" w:space="0" w:color="auto"/>
            </w:tcBorders>
            <w:shd w:val="clear" w:color="auto" w:fill="auto"/>
            <w:vAlign w:val="center"/>
            <w:hideMark/>
          </w:tcPr>
          <w:p w14:paraId="7CC52715"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37%</w:t>
            </w:r>
          </w:p>
        </w:tc>
        <w:tc>
          <w:tcPr>
            <w:tcW w:w="1996" w:type="dxa"/>
            <w:tcBorders>
              <w:top w:val="nil"/>
              <w:left w:val="nil"/>
              <w:bottom w:val="single" w:sz="4" w:space="0" w:color="auto"/>
              <w:right w:val="single" w:sz="4" w:space="0" w:color="auto"/>
            </w:tcBorders>
            <w:shd w:val="clear" w:color="auto" w:fill="auto"/>
            <w:vAlign w:val="center"/>
            <w:hideMark/>
          </w:tcPr>
          <w:p w14:paraId="327950FB"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0F099B" w:rsidRPr="00051D0F" w14:paraId="4C3B9361" w14:textId="77777777" w:rsidTr="000F099B">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5C3CF8C3" w14:textId="77777777" w:rsidR="000F099B" w:rsidRPr="00051D0F" w:rsidRDefault="000F099B" w:rsidP="000F099B">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CUMPLIMIENTO</w:t>
            </w:r>
          </w:p>
        </w:tc>
        <w:tc>
          <w:tcPr>
            <w:tcW w:w="1985" w:type="dxa"/>
            <w:tcBorders>
              <w:top w:val="nil"/>
              <w:left w:val="nil"/>
              <w:bottom w:val="single" w:sz="4" w:space="0" w:color="auto"/>
              <w:right w:val="single" w:sz="4" w:space="0" w:color="auto"/>
            </w:tcBorders>
            <w:shd w:val="clear" w:color="auto" w:fill="auto"/>
            <w:vAlign w:val="center"/>
            <w:hideMark/>
          </w:tcPr>
          <w:p w14:paraId="2A20420F"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51%</w:t>
            </w:r>
          </w:p>
        </w:tc>
        <w:tc>
          <w:tcPr>
            <w:tcW w:w="1996" w:type="dxa"/>
            <w:tcBorders>
              <w:top w:val="nil"/>
              <w:left w:val="nil"/>
              <w:bottom w:val="single" w:sz="4" w:space="0" w:color="auto"/>
              <w:right w:val="single" w:sz="4" w:space="0" w:color="auto"/>
            </w:tcBorders>
            <w:shd w:val="clear" w:color="auto" w:fill="auto"/>
            <w:vAlign w:val="center"/>
            <w:hideMark/>
          </w:tcPr>
          <w:p w14:paraId="3292FE89" w14:textId="77777777" w:rsidR="000F099B" w:rsidRPr="00051D0F" w:rsidRDefault="000F099B" w:rsidP="000F099B">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bl>
    <w:p w14:paraId="2491C044" w14:textId="77777777" w:rsidR="000F099B" w:rsidRPr="006812C9" w:rsidRDefault="000F099B" w:rsidP="000F099B">
      <w:pPr>
        <w:rPr>
          <w:rFonts w:ascii="Open Sans" w:hAnsi="Open Sans" w:cs="Open Sans"/>
          <w:color w:val="000000" w:themeColor="text1"/>
        </w:rPr>
      </w:pPr>
    </w:p>
    <w:p w14:paraId="0689A3E2" w14:textId="77777777" w:rsidR="000F099B" w:rsidRPr="00C37EF4" w:rsidRDefault="000F099B" w:rsidP="000F099B">
      <w:pPr>
        <w:pStyle w:val="Descripcin"/>
        <w:jc w:val="center"/>
        <w:rPr>
          <w:rFonts w:cs="Open Sans"/>
          <w:b/>
          <w:color w:val="000000" w:themeColor="text1"/>
          <w:szCs w:val="24"/>
        </w:rPr>
      </w:pPr>
      <w:bookmarkStart w:id="64" w:name="_Toc494148281"/>
      <w:bookmarkStart w:id="65" w:name="_Toc528828151"/>
      <w:r w:rsidRPr="00C37EF4">
        <w:rPr>
          <w:rFonts w:cs="Open Sans"/>
          <w:color w:val="000000" w:themeColor="text1"/>
          <w:szCs w:val="24"/>
        </w:rPr>
        <w:t xml:space="preserve">Tabla </w:t>
      </w:r>
      <w:r w:rsidRPr="00C37EF4">
        <w:rPr>
          <w:rFonts w:cs="Open Sans"/>
          <w:b/>
          <w:color w:val="000000" w:themeColor="text1"/>
          <w:szCs w:val="24"/>
        </w:rPr>
        <w:fldChar w:fldCharType="begin"/>
      </w:r>
      <w:r w:rsidRPr="00C37EF4">
        <w:rPr>
          <w:rFonts w:cs="Open Sans"/>
          <w:color w:val="000000" w:themeColor="text1"/>
          <w:szCs w:val="24"/>
        </w:rPr>
        <w:instrText xml:space="preserve"> SEQ Tabla \* ARABIC </w:instrText>
      </w:r>
      <w:r w:rsidRPr="00C37EF4">
        <w:rPr>
          <w:rFonts w:cs="Open Sans"/>
          <w:b/>
          <w:color w:val="000000" w:themeColor="text1"/>
          <w:szCs w:val="24"/>
        </w:rPr>
        <w:fldChar w:fldCharType="separate"/>
      </w:r>
      <w:r w:rsidR="0098415C">
        <w:rPr>
          <w:rFonts w:cs="Open Sans"/>
          <w:noProof/>
          <w:color w:val="000000" w:themeColor="text1"/>
          <w:szCs w:val="24"/>
        </w:rPr>
        <w:t>7</w:t>
      </w:r>
      <w:r w:rsidRPr="00C37EF4">
        <w:rPr>
          <w:rFonts w:cs="Open Sans"/>
          <w:b/>
          <w:color w:val="000000" w:themeColor="text1"/>
          <w:szCs w:val="24"/>
        </w:rPr>
        <w:fldChar w:fldCharType="end"/>
      </w:r>
      <w:r w:rsidRPr="00C37EF4">
        <w:rPr>
          <w:rFonts w:cs="Open Sans"/>
          <w:color w:val="000000" w:themeColor="text1"/>
          <w:szCs w:val="24"/>
        </w:rPr>
        <w:t>. Detalle del Nivel de Madurez del Anexo A ISO/IEC 2700</w:t>
      </w:r>
      <w:r>
        <w:rPr>
          <w:rFonts w:cs="Open Sans"/>
          <w:color w:val="000000" w:themeColor="text1"/>
          <w:szCs w:val="24"/>
        </w:rPr>
        <w:t>1</w:t>
      </w:r>
      <w:bookmarkEnd w:id="64"/>
      <w:bookmarkEnd w:id="65"/>
    </w:p>
    <w:p w14:paraId="6960CAE6" w14:textId="77777777" w:rsidR="000F099B" w:rsidRDefault="000F099B" w:rsidP="000F099B">
      <w:pPr>
        <w:rPr>
          <w:rFonts w:ascii="Open Sans" w:hAnsi="Open Sans" w:cs="Open Sans"/>
          <w:color w:val="000000" w:themeColor="text1"/>
          <w:sz w:val="24"/>
          <w:szCs w:val="24"/>
        </w:rPr>
      </w:pPr>
    </w:p>
    <w:p w14:paraId="4154C36E" w14:textId="77777777" w:rsidR="000F099B" w:rsidRPr="00C37EF4" w:rsidRDefault="000F099B" w:rsidP="000F099B">
      <w:pPr>
        <w:rPr>
          <w:rFonts w:ascii="Open Sans" w:hAnsi="Open Sans" w:cs="Open Sans"/>
          <w:color w:val="000000" w:themeColor="text1"/>
          <w:szCs w:val="24"/>
        </w:rPr>
      </w:pPr>
      <w:r w:rsidRPr="00C37EF4">
        <w:rPr>
          <w:rFonts w:ascii="Open Sans" w:hAnsi="Open Sans" w:cs="Open Sans"/>
          <w:color w:val="000000" w:themeColor="text1"/>
          <w:szCs w:val="24"/>
        </w:rPr>
        <w:t xml:space="preserve">Como se observa en la Tabla </w:t>
      </w:r>
      <w:r>
        <w:rPr>
          <w:rFonts w:ascii="Open Sans" w:hAnsi="Open Sans" w:cs="Open Sans"/>
          <w:color w:val="000000" w:themeColor="text1"/>
          <w:szCs w:val="24"/>
        </w:rPr>
        <w:t>7</w:t>
      </w:r>
      <w:r w:rsidRPr="00C37EF4">
        <w:rPr>
          <w:rFonts w:ascii="Open Sans" w:hAnsi="Open Sans" w:cs="Open Sans"/>
          <w:color w:val="000000" w:themeColor="text1"/>
          <w:szCs w:val="24"/>
        </w:rPr>
        <w:t xml:space="preserve">, </w:t>
      </w:r>
      <w:r w:rsidRPr="00C37EF4">
        <w:rPr>
          <w:rFonts w:ascii="Open Sans" w:hAnsi="Open Sans" w:cs="Open Sans"/>
          <w:color w:val="000000" w:themeColor="text1"/>
        </w:rPr>
        <w:t xml:space="preserve">el </w:t>
      </w:r>
      <w:r>
        <w:rPr>
          <w:rFonts w:ascii="Open Sans" w:hAnsi="Open Sans" w:cs="Open Sans"/>
          <w:color w:val="000000" w:themeColor="text1"/>
        </w:rPr>
        <w:t>Instituto Nacional de Salud</w:t>
      </w:r>
      <w:r w:rsidRPr="00C37EF4">
        <w:rPr>
          <w:rFonts w:ascii="Open Sans" w:hAnsi="Open Sans" w:cs="Open Sans"/>
          <w:color w:val="000000" w:themeColor="text1"/>
          <w:szCs w:val="24"/>
        </w:rPr>
        <w:t xml:space="preserve"> presenta como resultado de implementación del Anexo A </w:t>
      </w:r>
      <w:r>
        <w:rPr>
          <w:rFonts w:ascii="Open Sans" w:hAnsi="Open Sans" w:cs="Open Sans"/>
          <w:color w:val="000000" w:themeColor="text1"/>
          <w:szCs w:val="24"/>
        </w:rPr>
        <w:t>del estándar</w:t>
      </w:r>
      <w:r w:rsidRPr="00C37EF4">
        <w:rPr>
          <w:rFonts w:ascii="Open Sans" w:hAnsi="Open Sans" w:cs="Open Sans"/>
          <w:color w:val="000000" w:themeColor="text1"/>
          <w:szCs w:val="24"/>
        </w:rPr>
        <w:t xml:space="preserve"> ISO/IEC 2700</w:t>
      </w:r>
      <w:r>
        <w:rPr>
          <w:rFonts w:ascii="Open Sans" w:hAnsi="Open Sans" w:cs="Open Sans"/>
          <w:color w:val="000000" w:themeColor="text1"/>
          <w:szCs w:val="24"/>
        </w:rPr>
        <w:t>1</w:t>
      </w:r>
      <w:r w:rsidRPr="00C37EF4">
        <w:rPr>
          <w:rFonts w:ascii="Open Sans" w:hAnsi="Open Sans" w:cs="Open Sans"/>
          <w:color w:val="000000" w:themeColor="text1"/>
          <w:szCs w:val="24"/>
        </w:rPr>
        <w:t xml:space="preserve">:2015 un nivel de madurez </w:t>
      </w:r>
      <w:r w:rsidR="00680FB9">
        <w:rPr>
          <w:rFonts w:ascii="Open Sans" w:hAnsi="Open Sans" w:cs="Open Sans"/>
          <w:b/>
          <w:color w:val="000000" w:themeColor="text1"/>
          <w:szCs w:val="24"/>
          <w:u w:val="single"/>
        </w:rPr>
        <w:t>DEFINIDO</w:t>
      </w:r>
      <w:r w:rsidR="009A58F2">
        <w:rPr>
          <w:rFonts w:ascii="Open Sans" w:hAnsi="Open Sans" w:cs="Open Sans"/>
          <w:b/>
          <w:color w:val="000000" w:themeColor="text1"/>
          <w:szCs w:val="24"/>
          <w:u w:val="single"/>
        </w:rPr>
        <w:t xml:space="preserve"> </w:t>
      </w:r>
      <w:r w:rsidRPr="00051D0F">
        <w:rPr>
          <w:rFonts w:ascii="Open Sans" w:hAnsi="Open Sans" w:cs="Open Sans"/>
          <w:b/>
          <w:color w:val="000000" w:themeColor="text1"/>
          <w:szCs w:val="24"/>
          <w:u w:val="single"/>
        </w:rPr>
        <w:t xml:space="preserve">con un </w:t>
      </w:r>
      <w:r w:rsidR="00680FB9">
        <w:rPr>
          <w:rFonts w:ascii="Open Sans" w:hAnsi="Open Sans" w:cs="Open Sans"/>
          <w:b/>
          <w:color w:val="000000" w:themeColor="text1"/>
          <w:szCs w:val="24"/>
          <w:u w:val="single"/>
        </w:rPr>
        <w:t>45</w:t>
      </w:r>
      <w:r w:rsidRPr="00051D0F">
        <w:rPr>
          <w:rFonts w:ascii="Open Sans" w:hAnsi="Open Sans" w:cs="Open Sans"/>
          <w:b/>
          <w:i/>
          <w:color w:val="000000" w:themeColor="text1"/>
          <w:szCs w:val="24"/>
          <w:u w:val="single"/>
        </w:rPr>
        <w:t>%</w:t>
      </w:r>
      <w:r w:rsidRPr="00876676">
        <w:rPr>
          <w:rFonts w:ascii="Open Sans" w:hAnsi="Open Sans" w:cs="Open Sans"/>
          <w:i/>
          <w:color w:val="000000" w:themeColor="text1"/>
          <w:szCs w:val="24"/>
        </w:rPr>
        <w:t>.</w:t>
      </w:r>
      <w:r w:rsidRPr="00C37EF4">
        <w:rPr>
          <w:rFonts w:ascii="Open Sans" w:hAnsi="Open Sans" w:cs="Open Sans"/>
          <w:color w:val="000000" w:themeColor="text1"/>
          <w:szCs w:val="24"/>
        </w:rPr>
        <w:t xml:space="preserve"> </w:t>
      </w:r>
      <w:r>
        <w:rPr>
          <w:rFonts w:ascii="Open Sans" w:hAnsi="Open Sans" w:cs="Open Sans"/>
          <w:color w:val="000000" w:themeColor="text1"/>
          <w:szCs w:val="24"/>
        </w:rPr>
        <w:t xml:space="preserve"> En la ilustración 7</w:t>
      </w:r>
      <w:r w:rsidRPr="00C37EF4">
        <w:rPr>
          <w:rFonts w:ascii="Open Sans" w:hAnsi="Open Sans" w:cs="Open Sans"/>
          <w:color w:val="000000" w:themeColor="text1"/>
          <w:szCs w:val="24"/>
        </w:rPr>
        <w:t>, se representa el nivel de madurez correspondiente</w:t>
      </w:r>
      <w:r w:rsidR="009A58F2">
        <w:rPr>
          <w:rFonts w:ascii="Open Sans" w:hAnsi="Open Sans" w:cs="Open Sans"/>
          <w:color w:val="000000" w:themeColor="text1"/>
          <w:szCs w:val="24"/>
        </w:rPr>
        <w:t xml:space="preserve"> a 2019 </w:t>
      </w:r>
      <w:proofErr w:type="gramStart"/>
      <w:r w:rsidR="009A58F2">
        <w:rPr>
          <w:rFonts w:ascii="Open Sans" w:hAnsi="Open Sans" w:cs="Open Sans"/>
          <w:color w:val="000000" w:themeColor="text1"/>
          <w:szCs w:val="24"/>
        </w:rPr>
        <w:t xml:space="preserve">en </w:t>
      </w:r>
      <w:r w:rsidRPr="00C37EF4">
        <w:rPr>
          <w:rFonts w:ascii="Open Sans" w:hAnsi="Open Sans" w:cs="Open Sans"/>
          <w:color w:val="000000" w:themeColor="text1"/>
          <w:szCs w:val="24"/>
        </w:rPr>
        <w:t xml:space="preserve"> cada</w:t>
      </w:r>
      <w:proofErr w:type="gramEnd"/>
      <w:r w:rsidRPr="00C37EF4">
        <w:rPr>
          <w:rFonts w:ascii="Open Sans" w:hAnsi="Open Sans" w:cs="Open Sans"/>
          <w:color w:val="000000" w:themeColor="text1"/>
          <w:szCs w:val="24"/>
        </w:rPr>
        <w:t xml:space="preserve"> uno de los dominios del Anexo A ISO/IEC 2700</w:t>
      </w:r>
      <w:r>
        <w:rPr>
          <w:rFonts w:ascii="Open Sans" w:hAnsi="Open Sans" w:cs="Open Sans"/>
          <w:color w:val="000000" w:themeColor="text1"/>
          <w:szCs w:val="24"/>
        </w:rPr>
        <w:t>1</w:t>
      </w:r>
      <w:r w:rsidRPr="00C37EF4">
        <w:rPr>
          <w:rFonts w:ascii="Open Sans" w:hAnsi="Open Sans" w:cs="Open Sans"/>
          <w:color w:val="000000" w:themeColor="text1"/>
          <w:szCs w:val="24"/>
        </w:rPr>
        <w:t>:2015</w:t>
      </w:r>
      <w:r>
        <w:rPr>
          <w:rFonts w:ascii="Open Sans" w:hAnsi="Open Sans" w:cs="Open Sans"/>
          <w:color w:val="000000" w:themeColor="text1"/>
          <w:szCs w:val="24"/>
        </w:rPr>
        <w:t>.</w:t>
      </w:r>
    </w:p>
    <w:p w14:paraId="6BDA1FAF" w14:textId="77777777" w:rsidR="000F099B" w:rsidRDefault="000F099B" w:rsidP="000F099B">
      <w:pPr>
        <w:rPr>
          <w:rFonts w:ascii="Open Sans" w:hAnsi="Open Sans" w:cs="Open Sans"/>
          <w:color w:val="000000" w:themeColor="text1"/>
        </w:rPr>
      </w:pPr>
    </w:p>
    <w:p w14:paraId="29FE7CC7" w14:textId="77777777" w:rsidR="000F099B" w:rsidRDefault="000F099B" w:rsidP="000F099B">
      <w:pPr>
        <w:pStyle w:val="Sinespaciado"/>
      </w:pPr>
    </w:p>
    <w:p w14:paraId="2305B00B" w14:textId="77777777" w:rsidR="000F099B" w:rsidRDefault="000F099B" w:rsidP="000F099B">
      <w:pPr>
        <w:pStyle w:val="Sinespaciado"/>
      </w:pPr>
    </w:p>
    <w:p w14:paraId="2C3F4FFE" w14:textId="77777777" w:rsidR="000F099B" w:rsidRPr="00051D0F" w:rsidRDefault="000F099B" w:rsidP="000F099B">
      <w:pPr>
        <w:pStyle w:val="Sinespaciado"/>
        <w:rPr>
          <w:rFonts w:ascii="Open Sans" w:eastAsia="Open Sans" w:hAnsi="Open Sans" w:cs="Open Sans"/>
          <w:color w:val="000000"/>
        </w:rPr>
      </w:pPr>
      <w:bookmarkStart w:id="66" w:name="_Toc518771199"/>
      <w:bookmarkStart w:id="67" w:name="_Toc518815699"/>
      <w:r w:rsidRPr="00051D0F">
        <w:rPr>
          <w:rFonts w:ascii="Open Sans" w:eastAsia="Open Sans" w:hAnsi="Open Sans" w:cs="Open Sans"/>
          <w:color w:val="000000"/>
        </w:rPr>
        <w:t xml:space="preserve">Nota: </w:t>
      </w:r>
    </w:p>
    <w:p w14:paraId="13EC8D61" w14:textId="77777777" w:rsidR="000F099B" w:rsidRDefault="000F099B" w:rsidP="000F099B">
      <w:pPr>
        <w:tabs>
          <w:tab w:val="left" w:pos="2605"/>
        </w:tabs>
        <w:rPr>
          <w:rFonts w:ascii="Open Sans" w:eastAsia="Open Sans" w:hAnsi="Open Sans" w:cs="Open Sans"/>
          <w:color w:val="000000"/>
        </w:rPr>
      </w:pPr>
      <w:r>
        <w:rPr>
          <w:rFonts w:ascii="Open Sans" w:eastAsia="Open Sans" w:hAnsi="Open Sans" w:cs="Open Sans"/>
          <w:color w:val="000000"/>
        </w:rPr>
        <w:t xml:space="preserve">El detalle del análisis realizado se encuentra en el Anexo 2. Detalle Análisis de Cumplimiento Respecto a Controles del </w:t>
      </w:r>
      <w:r>
        <w:rPr>
          <w:rFonts w:ascii="Open Sans" w:eastAsia="Open Sans" w:hAnsi="Open Sans" w:cs="Open Sans"/>
          <w:b/>
          <w:color w:val="000000"/>
        </w:rPr>
        <w:t>Anexo A</w:t>
      </w:r>
      <w:r>
        <w:rPr>
          <w:rFonts w:ascii="Open Sans" w:eastAsia="Open Sans" w:hAnsi="Open Sans" w:cs="Open Sans"/>
          <w:color w:val="000000"/>
        </w:rPr>
        <w:t>, de este documento.</w:t>
      </w:r>
    </w:p>
    <w:p w14:paraId="74F88E5D" w14:textId="77777777" w:rsidR="009A58F2" w:rsidRDefault="009A58F2" w:rsidP="000F099B">
      <w:pPr>
        <w:spacing w:after="160" w:line="252" w:lineRule="auto"/>
        <w:rPr>
          <w:lang w:val="es-CO"/>
        </w:rPr>
      </w:pPr>
    </w:p>
    <w:p w14:paraId="7E7A749A" w14:textId="77777777" w:rsidR="009A58F2" w:rsidRPr="00C37EF4" w:rsidRDefault="009A58F2" w:rsidP="00187127">
      <w:pPr>
        <w:pStyle w:val="Ttulo2"/>
        <w:keepNext/>
        <w:keepLines/>
        <w:widowControl/>
        <w:numPr>
          <w:ilvl w:val="1"/>
          <w:numId w:val="8"/>
        </w:numPr>
        <w:autoSpaceDE/>
        <w:autoSpaceDN/>
        <w:spacing w:before="120"/>
        <w:jc w:val="both"/>
        <w:rPr>
          <w:rFonts w:ascii="Open Sans" w:hAnsi="Open Sans" w:cs="Open Sans"/>
          <w:color w:val="000000" w:themeColor="text1"/>
        </w:rPr>
      </w:pPr>
      <w:r w:rsidRPr="00C37EF4">
        <w:rPr>
          <w:rFonts w:ascii="Open Sans" w:hAnsi="Open Sans" w:cs="Open Sans"/>
          <w:color w:val="000000" w:themeColor="text1"/>
        </w:rPr>
        <w:t>ANÁLISIS DE MADUREZ DEL ANEXO A</w:t>
      </w:r>
    </w:p>
    <w:p w14:paraId="3AD82AA9" w14:textId="77777777" w:rsidR="009A58F2" w:rsidRDefault="009A58F2" w:rsidP="009A58F2">
      <w:pPr>
        <w:pStyle w:val="Sinespaciado"/>
      </w:pPr>
    </w:p>
    <w:p w14:paraId="11E972D5" w14:textId="77777777" w:rsidR="009A58F2" w:rsidRDefault="009A58F2" w:rsidP="009A58F2">
      <w:pPr>
        <w:tabs>
          <w:tab w:val="left" w:pos="2605"/>
        </w:tabs>
        <w:rPr>
          <w:rFonts w:ascii="Open Sans" w:eastAsia="Open Sans" w:hAnsi="Open Sans" w:cs="Open Sans"/>
          <w:color w:val="000000"/>
        </w:rPr>
      </w:pPr>
      <w:r>
        <w:rPr>
          <w:rFonts w:ascii="Open Sans" w:eastAsia="Open Sans" w:hAnsi="Open Sans" w:cs="Open Sans"/>
          <w:color w:val="000000"/>
        </w:rPr>
        <w:t>A continuación, se presenta el nivel de madurez identificado para cada uno de los dominios y objetivos de control, el cual se obtuvo después de promediar el porcentaje del nivel de madurez de cada uno de los controles de seguridad de información establecidos en el Anexo A de ISO/IEC 27001:2013, frente al nivel de Madurez esperado para el año 2018 de la entidad.</w:t>
      </w:r>
    </w:p>
    <w:p w14:paraId="43E71C43" w14:textId="77777777" w:rsidR="009A58F2" w:rsidRPr="00244720" w:rsidRDefault="009A58F2" w:rsidP="009A58F2">
      <w:pPr>
        <w:pStyle w:val="Sinespaciado"/>
      </w:pPr>
    </w:p>
    <w:tbl>
      <w:tblPr>
        <w:tblW w:w="9651" w:type="dxa"/>
        <w:tblCellMar>
          <w:left w:w="70" w:type="dxa"/>
          <w:right w:w="70" w:type="dxa"/>
        </w:tblCellMar>
        <w:tblLook w:val="04A0" w:firstRow="1" w:lastRow="0" w:firstColumn="1" w:lastColumn="0" w:noHBand="0" w:noVBand="1"/>
      </w:tblPr>
      <w:tblGrid>
        <w:gridCol w:w="5670"/>
        <w:gridCol w:w="1985"/>
        <w:gridCol w:w="1996"/>
      </w:tblGrid>
      <w:tr w:rsidR="009A58F2" w:rsidRPr="00051D0F" w14:paraId="0F51A466" w14:textId="77777777" w:rsidTr="00716C65">
        <w:trPr>
          <w:trHeight w:val="212"/>
        </w:trPr>
        <w:tc>
          <w:tcPr>
            <w:tcW w:w="5670" w:type="dxa"/>
            <w:tcBorders>
              <w:top w:val="nil"/>
              <w:left w:val="nil"/>
              <w:bottom w:val="nil"/>
              <w:right w:val="nil"/>
            </w:tcBorders>
            <w:shd w:val="clear" w:color="auto" w:fill="auto"/>
            <w:vAlign w:val="center"/>
            <w:hideMark/>
          </w:tcPr>
          <w:p w14:paraId="143409BD" w14:textId="77777777" w:rsidR="009A58F2" w:rsidRPr="00051D0F" w:rsidRDefault="009A58F2" w:rsidP="00716C65">
            <w:pPr>
              <w:rPr>
                <w:rFonts w:ascii="Times New Roman" w:eastAsia="Times New Roman" w:hAnsi="Times New Roman" w:cs="Times New Roman"/>
                <w:sz w:val="24"/>
                <w:szCs w:val="24"/>
                <w:lang w:val="es-CO" w:eastAsia="es-CO"/>
              </w:rPr>
            </w:pPr>
          </w:p>
        </w:tc>
        <w:tc>
          <w:tcPr>
            <w:tcW w:w="398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B665182" w14:textId="77777777" w:rsidR="009A58F2" w:rsidRPr="00051D0F" w:rsidRDefault="009A58F2" w:rsidP="00716C65">
            <w:pPr>
              <w:jc w:val="center"/>
              <w:rPr>
                <w:rFonts w:ascii="Calibri" w:eastAsia="Times New Roman" w:hAnsi="Calibri" w:cs="Calibri"/>
                <w:b/>
                <w:bCs/>
                <w:color w:val="000000"/>
                <w:sz w:val="20"/>
                <w:szCs w:val="20"/>
                <w:lang w:val="es-CO" w:eastAsia="es-CO"/>
              </w:rPr>
            </w:pPr>
            <w:r w:rsidRPr="00051D0F">
              <w:rPr>
                <w:rFonts w:ascii="Calibri" w:eastAsia="Times New Roman" w:hAnsi="Calibri" w:cs="Calibri"/>
                <w:b/>
                <w:bCs/>
                <w:color w:val="000000"/>
                <w:sz w:val="20"/>
                <w:szCs w:val="20"/>
                <w:lang w:val="es-CO" w:eastAsia="es-CO"/>
              </w:rPr>
              <w:t>Nivel de Madurez</w:t>
            </w:r>
          </w:p>
        </w:tc>
      </w:tr>
      <w:tr w:rsidR="009A58F2" w:rsidRPr="00051D0F" w14:paraId="28FB6F75" w14:textId="77777777" w:rsidTr="00716C65">
        <w:trPr>
          <w:trHeight w:val="212"/>
        </w:trPr>
        <w:tc>
          <w:tcPr>
            <w:tcW w:w="56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A1C8B0F" w14:textId="77777777" w:rsidR="009A58F2" w:rsidRPr="00051D0F" w:rsidRDefault="009A58F2" w:rsidP="00716C65">
            <w:pPr>
              <w:rPr>
                <w:rFonts w:ascii="Calibri" w:eastAsia="Times New Roman" w:hAnsi="Calibri" w:cs="Calibri"/>
                <w:b/>
                <w:bCs/>
                <w:color w:val="000000"/>
                <w:sz w:val="20"/>
                <w:szCs w:val="20"/>
                <w:lang w:val="es-CO" w:eastAsia="es-CO"/>
              </w:rPr>
            </w:pPr>
            <w:r w:rsidRPr="00051D0F">
              <w:rPr>
                <w:rFonts w:ascii="Calibri" w:eastAsia="Times New Roman" w:hAnsi="Calibri" w:cs="Calibri"/>
                <w:b/>
                <w:bCs/>
                <w:color w:val="000000"/>
                <w:sz w:val="20"/>
                <w:szCs w:val="20"/>
                <w:lang w:val="es-CO" w:eastAsia="es-CO"/>
              </w:rPr>
              <w:t>REQUERIMIENTOS - SGSI</w:t>
            </w:r>
          </w:p>
        </w:tc>
        <w:tc>
          <w:tcPr>
            <w:tcW w:w="1985" w:type="dxa"/>
            <w:tcBorders>
              <w:top w:val="nil"/>
              <w:left w:val="nil"/>
              <w:bottom w:val="single" w:sz="4" w:space="0" w:color="auto"/>
              <w:right w:val="single" w:sz="4" w:space="0" w:color="auto"/>
            </w:tcBorders>
            <w:shd w:val="clear" w:color="000000" w:fill="D9D9D9"/>
            <w:vAlign w:val="center"/>
            <w:hideMark/>
          </w:tcPr>
          <w:p w14:paraId="440FAC85" w14:textId="77777777" w:rsidR="009A58F2" w:rsidRPr="00051D0F" w:rsidRDefault="009A58F2" w:rsidP="00716C65">
            <w:pPr>
              <w:jc w:val="center"/>
              <w:rPr>
                <w:rFonts w:ascii="Calibri" w:eastAsia="Times New Roman" w:hAnsi="Calibri" w:cs="Calibri"/>
                <w:b/>
                <w:bCs/>
                <w:color w:val="000000"/>
                <w:lang w:val="es-CO" w:eastAsia="es-CO"/>
              </w:rPr>
            </w:pPr>
            <w:r w:rsidRPr="00051D0F">
              <w:rPr>
                <w:rFonts w:ascii="Calibri" w:eastAsia="Times New Roman" w:hAnsi="Calibri" w:cs="Calibri"/>
                <w:b/>
                <w:bCs/>
                <w:color w:val="000000"/>
                <w:lang w:val="es-CO" w:eastAsia="es-CO"/>
              </w:rPr>
              <w:t>Nivel Actual</w:t>
            </w:r>
          </w:p>
        </w:tc>
        <w:tc>
          <w:tcPr>
            <w:tcW w:w="1996" w:type="dxa"/>
            <w:tcBorders>
              <w:top w:val="nil"/>
              <w:left w:val="nil"/>
              <w:bottom w:val="single" w:sz="4" w:space="0" w:color="auto"/>
              <w:right w:val="single" w:sz="4" w:space="0" w:color="auto"/>
            </w:tcBorders>
            <w:shd w:val="clear" w:color="000000" w:fill="D9D9D9"/>
            <w:vAlign w:val="center"/>
            <w:hideMark/>
          </w:tcPr>
          <w:p w14:paraId="285A3DA3" w14:textId="77777777" w:rsidR="009A58F2" w:rsidRPr="00051D0F" w:rsidRDefault="009A58F2" w:rsidP="00716C65">
            <w:pPr>
              <w:jc w:val="center"/>
              <w:rPr>
                <w:rFonts w:ascii="Calibri" w:eastAsia="Times New Roman" w:hAnsi="Calibri" w:cs="Calibri"/>
                <w:b/>
                <w:bCs/>
                <w:color w:val="000000"/>
                <w:lang w:val="es-CO" w:eastAsia="es-CO"/>
              </w:rPr>
            </w:pPr>
            <w:r w:rsidRPr="00051D0F">
              <w:rPr>
                <w:rFonts w:ascii="Calibri" w:eastAsia="Times New Roman" w:hAnsi="Calibri" w:cs="Calibri"/>
                <w:b/>
                <w:bCs/>
                <w:color w:val="000000"/>
                <w:lang w:val="es-CO" w:eastAsia="es-CO"/>
              </w:rPr>
              <w:t>Nivel Deseado</w:t>
            </w:r>
          </w:p>
        </w:tc>
      </w:tr>
      <w:tr w:rsidR="009A58F2" w:rsidRPr="00051D0F" w14:paraId="6369B12C" w14:textId="77777777" w:rsidTr="00716C65">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50EF9BCB" w14:textId="77777777" w:rsidR="009A58F2" w:rsidRPr="00051D0F" w:rsidRDefault="009A58F2" w:rsidP="00716C65">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POLÍTICAS DE SEGURIDAD DE LA INFORMACIÓN</w:t>
            </w:r>
          </w:p>
        </w:tc>
        <w:tc>
          <w:tcPr>
            <w:tcW w:w="1985" w:type="dxa"/>
            <w:tcBorders>
              <w:top w:val="nil"/>
              <w:left w:val="nil"/>
              <w:bottom w:val="single" w:sz="4" w:space="0" w:color="auto"/>
              <w:right w:val="single" w:sz="4" w:space="0" w:color="auto"/>
            </w:tcBorders>
            <w:shd w:val="clear" w:color="auto" w:fill="auto"/>
            <w:vAlign w:val="center"/>
            <w:hideMark/>
          </w:tcPr>
          <w:p w14:paraId="13388EBE" w14:textId="77777777" w:rsidR="009A58F2" w:rsidRPr="00051D0F" w:rsidRDefault="009A58F2" w:rsidP="00716C65">
            <w:pPr>
              <w:jc w:val="center"/>
              <w:rPr>
                <w:rFonts w:ascii="Calibri" w:eastAsia="Times New Roman" w:hAnsi="Calibri" w:cs="Calibri"/>
                <w:color w:val="000000"/>
                <w:sz w:val="20"/>
                <w:szCs w:val="20"/>
                <w:lang w:val="es-CO" w:eastAsia="es-CO"/>
              </w:rPr>
            </w:pPr>
            <w:r>
              <w:rPr>
                <w:rFonts w:ascii="Calibri" w:eastAsia="Times New Roman" w:hAnsi="Calibri" w:cs="Calibri"/>
                <w:color w:val="000000"/>
                <w:sz w:val="20"/>
                <w:szCs w:val="20"/>
                <w:lang w:val="es-CO" w:eastAsia="es-CO"/>
              </w:rPr>
              <w:t>100</w:t>
            </w:r>
            <w:r w:rsidRPr="00051D0F">
              <w:rPr>
                <w:rFonts w:ascii="Calibri" w:eastAsia="Times New Roman" w:hAnsi="Calibri" w:cs="Calibri"/>
                <w:color w:val="000000"/>
                <w:sz w:val="20"/>
                <w:szCs w:val="20"/>
                <w:lang w:val="es-CO" w:eastAsia="es-CO"/>
              </w:rPr>
              <w:t>%</w:t>
            </w:r>
          </w:p>
        </w:tc>
        <w:tc>
          <w:tcPr>
            <w:tcW w:w="1996" w:type="dxa"/>
            <w:tcBorders>
              <w:top w:val="nil"/>
              <w:left w:val="nil"/>
              <w:bottom w:val="single" w:sz="4" w:space="0" w:color="auto"/>
              <w:right w:val="single" w:sz="4" w:space="0" w:color="auto"/>
            </w:tcBorders>
            <w:shd w:val="clear" w:color="auto" w:fill="auto"/>
            <w:vAlign w:val="center"/>
            <w:hideMark/>
          </w:tcPr>
          <w:p w14:paraId="7BC8DA40" w14:textId="77777777" w:rsidR="009A58F2" w:rsidRPr="00051D0F" w:rsidRDefault="009A58F2" w:rsidP="00716C65">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9A58F2" w:rsidRPr="00051D0F" w14:paraId="41FB2F20" w14:textId="77777777" w:rsidTr="00716C65">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68BEE2C9" w14:textId="77777777" w:rsidR="009A58F2" w:rsidRPr="00051D0F" w:rsidRDefault="009A58F2" w:rsidP="00716C65">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ORGANIZACIÓN DE LA SEGURIDAD DE LA INFORMACIÓN</w:t>
            </w:r>
          </w:p>
        </w:tc>
        <w:tc>
          <w:tcPr>
            <w:tcW w:w="1985" w:type="dxa"/>
            <w:tcBorders>
              <w:top w:val="nil"/>
              <w:left w:val="nil"/>
              <w:bottom w:val="single" w:sz="4" w:space="0" w:color="auto"/>
              <w:right w:val="single" w:sz="4" w:space="0" w:color="auto"/>
            </w:tcBorders>
            <w:shd w:val="clear" w:color="auto" w:fill="auto"/>
            <w:vAlign w:val="center"/>
            <w:hideMark/>
          </w:tcPr>
          <w:p w14:paraId="7E0F383F" w14:textId="77777777" w:rsidR="009A58F2" w:rsidRPr="00051D0F" w:rsidRDefault="009A58F2" w:rsidP="009A58F2">
            <w:pPr>
              <w:jc w:val="center"/>
              <w:rPr>
                <w:rFonts w:ascii="Calibri" w:eastAsia="Times New Roman" w:hAnsi="Calibri" w:cs="Calibri"/>
                <w:color w:val="000000"/>
                <w:sz w:val="20"/>
                <w:szCs w:val="20"/>
                <w:lang w:val="es-CO" w:eastAsia="es-CO"/>
              </w:rPr>
            </w:pPr>
            <w:r>
              <w:rPr>
                <w:rFonts w:ascii="Calibri" w:eastAsia="Times New Roman" w:hAnsi="Calibri" w:cs="Calibri"/>
                <w:color w:val="000000"/>
                <w:sz w:val="20"/>
                <w:szCs w:val="20"/>
                <w:lang w:val="es-CO" w:eastAsia="es-CO"/>
              </w:rPr>
              <w:t>65</w:t>
            </w:r>
            <w:r w:rsidRPr="00051D0F">
              <w:rPr>
                <w:rFonts w:ascii="Calibri" w:eastAsia="Times New Roman" w:hAnsi="Calibri" w:cs="Calibri"/>
                <w:color w:val="000000"/>
                <w:sz w:val="20"/>
                <w:szCs w:val="20"/>
                <w:lang w:val="es-CO" w:eastAsia="es-CO"/>
              </w:rPr>
              <w:t>%</w:t>
            </w:r>
          </w:p>
        </w:tc>
        <w:tc>
          <w:tcPr>
            <w:tcW w:w="1996" w:type="dxa"/>
            <w:tcBorders>
              <w:top w:val="nil"/>
              <w:left w:val="nil"/>
              <w:bottom w:val="single" w:sz="4" w:space="0" w:color="auto"/>
              <w:right w:val="single" w:sz="4" w:space="0" w:color="auto"/>
            </w:tcBorders>
            <w:shd w:val="clear" w:color="auto" w:fill="auto"/>
            <w:vAlign w:val="center"/>
            <w:hideMark/>
          </w:tcPr>
          <w:p w14:paraId="28EDB310" w14:textId="77777777" w:rsidR="009A58F2" w:rsidRPr="00051D0F" w:rsidRDefault="009A58F2" w:rsidP="00716C65">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9A58F2" w:rsidRPr="00051D0F" w14:paraId="46FE042C" w14:textId="77777777" w:rsidTr="00716C65">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5C4BAEF2" w14:textId="77777777" w:rsidR="009A58F2" w:rsidRPr="00051D0F" w:rsidRDefault="009A58F2" w:rsidP="00716C65">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SEGURIDAD DE LOS RECURSOS HUMANOS</w:t>
            </w:r>
          </w:p>
        </w:tc>
        <w:tc>
          <w:tcPr>
            <w:tcW w:w="1985" w:type="dxa"/>
            <w:tcBorders>
              <w:top w:val="nil"/>
              <w:left w:val="nil"/>
              <w:bottom w:val="single" w:sz="4" w:space="0" w:color="auto"/>
              <w:right w:val="single" w:sz="4" w:space="0" w:color="auto"/>
            </w:tcBorders>
            <w:shd w:val="clear" w:color="auto" w:fill="auto"/>
            <w:vAlign w:val="center"/>
            <w:hideMark/>
          </w:tcPr>
          <w:p w14:paraId="5E836F53" w14:textId="77777777" w:rsidR="009A58F2" w:rsidRPr="00051D0F" w:rsidRDefault="009A58F2" w:rsidP="00716C65">
            <w:pPr>
              <w:jc w:val="center"/>
              <w:rPr>
                <w:rFonts w:ascii="Calibri" w:eastAsia="Times New Roman" w:hAnsi="Calibri" w:cs="Calibri"/>
                <w:color w:val="000000"/>
                <w:sz w:val="20"/>
                <w:szCs w:val="20"/>
                <w:lang w:val="es-CO" w:eastAsia="es-CO"/>
              </w:rPr>
            </w:pPr>
            <w:r>
              <w:rPr>
                <w:rFonts w:ascii="Calibri" w:eastAsia="Times New Roman" w:hAnsi="Calibri" w:cs="Calibri"/>
                <w:color w:val="000000"/>
                <w:sz w:val="20"/>
                <w:szCs w:val="20"/>
                <w:lang w:val="es-CO" w:eastAsia="es-CO"/>
              </w:rPr>
              <w:t>67</w:t>
            </w:r>
            <w:r w:rsidRPr="00051D0F">
              <w:rPr>
                <w:rFonts w:ascii="Calibri" w:eastAsia="Times New Roman" w:hAnsi="Calibri" w:cs="Calibri"/>
                <w:color w:val="000000"/>
                <w:sz w:val="20"/>
                <w:szCs w:val="20"/>
                <w:lang w:val="es-CO" w:eastAsia="es-CO"/>
              </w:rPr>
              <w:t>%</w:t>
            </w:r>
          </w:p>
        </w:tc>
        <w:tc>
          <w:tcPr>
            <w:tcW w:w="1996" w:type="dxa"/>
            <w:tcBorders>
              <w:top w:val="nil"/>
              <w:left w:val="nil"/>
              <w:bottom w:val="single" w:sz="4" w:space="0" w:color="auto"/>
              <w:right w:val="single" w:sz="4" w:space="0" w:color="auto"/>
            </w:tcBorders>
            <w:shd w:val="clear" w:color="auto" w:fill="auto"/>
            <w:vAlign w:val="center"/>
            <w:hideMark/>
          </w:tcPr>
          <w:p w14:paraId="7352B531" w14:textId="77777777" w:rsidR="009A58F2" w:rsidRPr="00051D0F" w:rsidRDefault="009A58F2" w:rsidP="00716C65">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9A58F2" w:rsidRPr="00051D0F" w14:paraId="5B188F23" w14:textId="77777777" w:rsidTr="00716C65">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19F2F111" w14:textId="77777777" w:rsidR="009A58F2" w:rsidRPr="00051D0F" w:rsidRDefault="009A58F2" w:rsidP="00716C65">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GESTIÓN DE ACTIVOS</w:t>
            </w:r>
          </w:p>
        </w:tc>
        <w:tc>
          <w:tcPr>
            <w:tcW w:w="1985" w:type="dxa"/>
            <w:tcBorders>
              <w:top w:val="nil"/>
              <w:left w:val="nil"/>
              <w:bottom w:val="single" w:sz="4" w:space="0" w:color="auto"/>
              <w:right w:val="single" w:sz="4" w:space="0" w:color="auto"/>
            </w:tcBorders>
            <w:shd w:val="clear" w:color="auto" w:fill="auto"/>
            <w:vAlign w:val="center"/>
            <w:hideMark/>
          </w:tcPr>
          <w:p w14:paraId="1816CDEE" w14:textId="77777777" w:rsidR="009A58F2" w:rsidRPr="00051D0F" w:rsidRDefault="009A58F2" w:rsidP="00716C65">
            <w:pPr>
              <w:jc w:val="center"/>
              <w:rPr>
                <w:rFonts w:ascii="Calibri" w:eastAsia="Times New Roman" w:hAnsi="Calibri" w:cs="Calibri"/>
                <w:color w:val="000000"/>
                <w:sz w:val="20"/>
                <w:szCs w:val="20"/>
                <w:lang w:val="es-CO" w:eastAsia="es-CO"/>
              </w:rPr>
            </w:pPr>
            <w:r>
              <w:rPr>
                <w:rFonts w:ascii="Calibri" w:eastAsia="Times New Roman" w:hAnsi="Calibri" w:cs="Calibri"/>
                <w:color w:val="000000"/>
                <w:sz w:val="20"/>
                <w:szCs w:val="20"/>
                <w:lang w:val="es-CO" w:eastAsia="es-CO"/>
              </w:rPr>
              <w:t>37</w:t>
            </w:r>
            <w:r w:rsidRPr="00051D0F">
              <w:rPr>
                <w:rFonts w:ascii="Calibri" w:eastAsia="Times New Roman" w:hAnsi="Calibri" w:cs="Calibri"/>
                <w:color w:val="000000"/>
                <w:sz w:val="20"/>
                <w:szCs w:val="20"/>
                <w:lang w:val="es-CO" w:eastAsia="es-CO"/>
              </w:rPr>
              <w:t>%</w:t>
            </w:r>
          </w:p>
        </w:tc>
        <w:tc>
          <w:tcPr>
            <w:tcW w:w="1996" w:type="dxa"/>
            <w:tcBorders>
              <w:top w:val="nil"/>
              <w:left w:val="nil"/>
              <w:bottom w:val="single" w:sz="4" w:space="0" w:color="auto"/>
              <w:right w:val="single" w:sz="4" w:space="0" w:color="auto"/>
            </w:tcBorders>
            <w:shd w:val="clear" w:color="auto" w:fill="auto"/>
            <w:vAlign w:val="center"/>
            <w:hideMark/>
          </w:tcPr>
          <w:p w14:paraId="3DE6D224" w14:textId="77777777" w:rsidR="009A58F2" w:rsidRPr="00051D0F" w:rsidRDefault="009A58F2" w:rsidP="00716C65">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9A58F2" w:rsidRPr="00051D0F" w14:paraId="1F787742" w14:textId="77777777" w:rsidTr="00716C65">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5838064F" w14:textId="77777777" w:rsidR="009A58F2" w:rsidRPr="00051D0F" w:rsidRDefault="009A58F2" w:rsidP="00716C65">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CONTROL DE ACCESO</w:t>
            </w:r>
          </w:p>
        </w:tc>
        <w:tc>
          <w:tcPr>
            <w:tcW w:w="1985" w:type="dxa"/>
            <w:tcBorders>
              <w:top w:val="nil"/>
              <w:left w:val="nil"/>
              <w:bottom w:val="single" w:sz="4" w:space="0" w:color="auto"/>
              <w:right w:val="single" w:sz="4" w:space="0" w:color="auto"/>
            </w:tcBorders>
            <w:shd w:val="clear" w:color="auto" w:fill="auto"/>
            <w:vAlign w:val="center"/>
            <w:hideMark/>
          </w:tcPr>
          <w:p w14:paraId="7856E14F" w14:textId="77777777" w:rsidR="009A58F2" w:rsidRPr="00051D0F" w:rsidRDefault="009A58F2" w:rsidP="00716C65">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60%</w:t>
            </w:r>
          </w:p>
        </w:tc>
        <w:tc>
          <w:tcPr>
            <w:tcW w:w="1996" w:type="dxa"/>
            <w:tcBorders>
              <w:top w:val="nil"/>
              <w:left w:val="nil"/>
              <w:bottom w:val="single" w:sz="4" w:space="0" w:color="auto"/>
              <w:right w:val="single" w:sz="4" w:space="0" w:color="auto"/>
            </w:tcBorders>
            <w:shd w:val="clear" w:color="auto" w:fill="auto"/>
            <w:vAlign w:val="center"/>
            <w:hideMark/>
          </w:tcPr>
          <w:p w14:paraId="380E8105" w14:textId="77777777" w:rsidR="009A58F2" w:rsidRPr="00051D0F" w:rsidRDefault="009A58F2" w:rsidP="00716C65">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9A58F2" w:rsidRPr="00051D0F" w14:paraId="677460AD" w14:textId="77777777" w:rsidTr="00716C65">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6B83DBAB" w14:textId="77777777" w:rsidR="009A58F2" w:rsidRPr="00051D0F" w:rsidRDefault="009A58F2" w:rsidP="00716C65">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CRIPTOGRAFÍA</w:t>
            </w:r>
          </w:p>
        </w:tc>
        <w:tc>
          <w:tcPr>
            <w:tcW w:w="1985" w:type="dxa"/>
            <w:tcBorders>
              <w:top w:val="nil"/>
              <w:left w:val="nil"/>
              <w:bottom w:val="single" w:sz="4" w:space="0" w:color="auto"/>
              <w:right w:val="single" w:sz="4" w:space="0" w:color="auto"/>
            </w:tcBorders>
            <w:shd w:val="clear" w:color="auto" w:fill="auto"/>
            <w:vAlign w:val="center"/>
            <w:hideMark/>
          </w:tcPr>
          <w:p w14:paraId="3C8F0DE8" w14:textId="77777777" w:rsidR="009A58F2" w:rsidRPr="00051D0F" w:rsidRDefault="009A58F2" w:rsidP="00716C65">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20%</w:t>
            </w:r>
          </w:p>
        </w:tc>
        <w:tc>
          <w:tcPr>
            <w:tcW w:w="1996" w:type="dxa"/>
            <w:tcBorders>
              <w:top w:val="nil"/>
              <w:left w:val="nil"/>
              <w:bottom w:val="single" w:sz="4" w:space="0" w:color="auto"/>
              <w:right w:val="single" w:sz="4" w:space="0" w:color="auto"/>
            </w:tcBorders>
            <w:shd w:val="clear" w:color="auto" w:fill="auto"/>
            <w:vAlign w:val="center"/>
            <w:hideMark/>
          </w:tcPr>
          <w:p w14:paraId="57154E94" w14:textId="77777777" w:rsidR="009A58F2" w:rsidRPr="00051D0F" w:rsidRDefault="009A58F2" w:rsidP="00716C65">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9A58F2" w:rsidRPr="00051D0F" w14:paraId="00A6551E" w14:textId="77777777" w:rsidTr="00716C65">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76ADAFAD" w14:textId="77777777" w:rsidR="009A58F2" w:rsidRPr="00051D0F" w:rsidRDefault="009A58F2" w:rsidP="00716C65">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SEGURIDAD FÍSICA Y DEL ENTORNO</w:t>
            </w:r>
          </w:p>
        </w:tc>
        <w:tc>
          <w:tcPr>
            <w:tcW w:w="1985" w:type="dxa"/>
            <w:tcBorders>
              <w:top w:val="nil"/>
              <w:left w:val="nil"/>
              <w:bottom w:val="single" w:sz="4" w:space="0" w:color="auto"/>
              <w:right w:val="single" w:sz="4" w:space="0" w:color="auto"/>
            </w:tcBorders>
            <w:shd w:val="clear" w:color="auto" w:fill="auto"/>
            <w:vAlign w:val="center"/>
            <w:hideMark/>
          </w:tcPr>
          <w:p w14:paraId="00397018" w14:textId="77777777" w:rsidR="009A58F2" w:rsidRPr="00051D0F" w:rsidRDefault="009A58F2" w:rsidP="00716C65">
            <w:pPr>
              <w:jc w:val="center"/>
              <w:rPr>
                <w:rFonts w:ascii="Calibri" w:eastAsia="Times New Roman" w:hAnsi="Calibri" w:cs="Calibri"/>
                <w:color w:val="000000"/>
                <w:sz w:val="20"/>
                <w:szCs w:val="20"/>
                <w:lang w:val="es-CO" w:eastAsia="es-CO"/>
              </w:rPr>
            </w:pPr>
            <w:r>
              <w:rPr>
                <w:rFonts w:ascii="Calibri" w:eastAsia="Times New Roman" w:hAnsi="Calibri" w:cs="Calibri"/>
                <w:color w:val="000000"/>
                <w:sz w:val="20"/>
                <w:szCs w:val="20"/>
                <w:lang w:val="es-CO" w:eastAsia="es-CO"/>
              </w:rPr>
              <w:t>80</w:t>
            </w:r>
            <w:r w:rsidRPr="00051D0F">
              <w:rPr>
                <w:rFonts w:ascii="Calibri" w:eastAsia="Times New Roman" w:hAnsi="Calibri" w:cs="Calibri"/>
                <w:color w:val="000000"/>
                <w:sz w:val="20"/>
                <w:szCs w:val="20"/>
                <w:lang w:val="es-CO" w:eastAsia="es-CO"/>
              </w:rPr>
              <w:t>%</w:t>
            </w:r>
          </w:p>
        </w:tc>
        <w:tc>
          <w:tcPr>
            <w:tcW w:w="1996" w:type="dxa"/>
            <w:tcBorders>
              <w:top w:val="nil"/>
              <w:left w:val="nil"/>
              <w:bottom w:val="single" w:sz="4" w:space="0" w:color="auto"/>
              <w:right w:val="single" w:sz="4" w:space="0" w:color="auto"/>
            </w:tcBorders>
            <w:shd w:val="clear" w:color="auto" w:fill="auto"/>
            <w:vAlign w:val="center"/>
            <w:hideMark/>
          </w:tcPr>
          <w:p w14:paraId="368E0017" w14:textId="77777777" w:rsidR="009A58F2" w:rsidRPr="00051D0F" w:rsidRDefault="009A58F2" w:rsidP="00716C65">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9A58F2" w:rsidRPr="00051D0F" w14:paraId="6FBA218B" w14:textId="77777777" w:rsidTr="00716C65">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081C0AD6" w14:textId="77777777" w:rsidR="009A58F2" w:rsidRPr="00051D0F" w:rsidRDefault="009A58F2" w:rsidP="00716C65">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lastRenderedPageBreak/>
              <w:t>SEGURIDAD DE LAS OPERACIONES</w:t>
            </w:r>
          </w:p>
        </w:tc>
        <w:tc>
          <w:tcPr>
            <w:tcW w:w="1985" w:type="dxa"/>
            <w:tcBorders>
              <w:top w:val="nil"/>
              <w:left w:val="nil"/>
              <w:bottom w:val="single" w:sz="4" w:space="0" w:color="auto"/>
              <w:right w:val="single" w:sz="4" w:space="0" w:color="auto"/>
            </w:tcBorders>
            <w:shd w:val="clear" w:color="auto" w:fill="auto"/>
            <w:vAlign w:val="center"/>
            <w:hideMark/>
          </w:tcPr>
          <w:p w14:paraId="36D86A4B" w14:textId="77777777" w:rsidR="009A58F2" w:rsidRPr="00051D0F" w:rsidRDefault="009A58F2" w:rsidP="00716C65">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7</w:t>
            </w:r>
            <w:r>
              <w:rPr>
                <w:rFonts w:ascii="Calibri" w:eastAsia="Times New Roman" w:hAnsi="Calibri" w:cs="Calibri"/>
                <w:color w:val="000000"/>
                <w:sz w:val="20"/>
                <w:szCs w:val="20"/>
                <w:lang w:val="es-CO" w:eastAsia="es-CO"/>
              </w:rPr>
              <w:t>9</w:t>
            </w:r>
            <w:r w:rsidRPr="00051D0F">
              <w:rPr>
                <w:rFonts w:ascii="Calibri" w:eastAsia="Times New Roman" w:hAnsi="Calibri" w:cs="Calibri"/>
                <w:color w:val="000000"/>
                <w:sz w:val="20"/>
                <w:szCs w:val="20"/>
                <w:lang w:val="es-CO" w:eastAsia="es-CO"/>
              </w:rPr>
              <w:t>%</w:t>
            </w:r>
          </w:p>
        </w:tc>
        <w:tc>
          <w:tcPr>
            <w:tcW w:w="1996" w:type="dxa"/>
            <w:tcBorders>
              <w:top w:val="nil"/>
              <w:left w:val="nil"/>
              <w:bottom w:val="single" w:sz="4" w:space="0" w:color="auto"/>
              <w:right w:val="single" w:sz="4" w:space="0" w:color="auto"/>
            </w:tcBorders>
            <w:shd w:val="clear" w:color="auto" w:fill="auto"/>
            <w:vAlign w:val="center"/>
            <w:hideMark/>
          </w:tcPr>
          <w:p w14:paraId="27728737" w14:textId="77777777" w:rsidR="009A58F2" w:rsidRPr="00051D0F" w:rsidRDefault="009A58F2" w:rsidP="00716C65">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9A58F2" w:rsidRPr="00051D0F" w14:paraId="2C2556C3" w14:textId="77777777" w:rsidTr="00716C65">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52A5C629" w14:textId="77777777" w:rsidR="009A58F2" w:rsidRPr="00051D0F" w:rsidRDefault="009A58F2" w:rsidP="00716C65">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SEGURIDAD DE LAS COMUNICACIONES</w:t>
            </w:r>
          </w:p>
        </w:tc>
        <w:tc>
          <w:tcPr>
            <w:tcW w:w="1985" w:type="dxa"/>
            <w:tcBorders>
              <w:top w:val="nil"/>
              <w:left w:val="nil"/>
              <w:bottom w:val="single" w:sz="4" w:space="0" w:color="auto"/>
              <w:right w:val="single" w:sz="4" w:space="0" w:color="auto"/>
            </w:tcBorders>
            <w:shd w:val="clear" w:color="auto" w:fill="auto"/>
            <w:vAlign w:val="center"/>
            <w:hideMark/>
          </w:tcPr>
          <w:p w14:paraId="3CAFE5B1" w14:textId="77777777" w:rsidR="009A58F2" w:rsidRPr="00051D0F" w:rsidRDefault="009A58F2" w:rsidP="00716C65">
            <w:pPr>
              <w:jc w:val="center"/>
              <w:rPr>
                <w:rFonts w:ascii="Calibri" w:eastAsia="Times New Roman" w:hAnsi="Calibri" w:cs="Calibri"/>
                <w:color w:val="000000"/>
                <w:sz w:val="20"/>
                <w:szCs w:val="20"/>
                <w:lang w:val="es-CO" w:eastAsia="es-CO"/>
              </w:rPr>
            </w:pPr>
            <w:r>
              <w:rPr>
                <w:rFonts w:ascii="Calibri" w:eastAsia="Times New Roman" w:hAnsi="Calibri" w:cs="Calibri"/>
                <w:color w:val="000000"/>
                <w:sz w:val="20"/>
                <w:szCs w:val="20"/>
                <w:lang w:val="es-CO" w:eastAsia="es-CO"/>
              </w:rPr>
              <w:t>85</w:t>
            </w:r>
            <w:r w:rsidRPr="00051D0F">
              <w:rPr>
                <w:rFonts w:ascii="Calibri" w:eastAsia="Times New Roman" w:hAnsi="Calibri" w:cs="Calibri"/>
                <w:color w:val="000000"/>
                <w:sz w:val="20"/>
                <w:szCs w:val="20"/>
                <w:lang w:val="es-CO" w:eastAsia="es-CO"/>
              </w:rPr>
              <w:t>%</w:t>
            </w:r>
          </w:p>
        </w:tc>
        <w:tc>
          <w:tcPr>
            <w:tcW w:w="1996" w:type="dxa"/>
            <w:tcBorders>
              <w:top w:val="nil"/>
              <w:left w:val="nil"/>
              <w:bottom w:val="single" w:sz="4" w:space="0" w:color="auto"/>
              <w:right w:val="single" w:sz="4" w:space="0" w:color="auto"/>
            </w:tcBorders>
            <w:shd w:val="clear" w:color="auto" w:fill="auto"/>
            <w:vAlign w:val="center"/>
            <w:hideMark/>
          </w:tcPr>
          <w:p w14:paraId="430B8620" w14:textId="77777777" w:rsidR="009A58F2" w:rsidRPr="00051D0F" w:rsidRDefault="009A58F2" w:rsidP="00716C65">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9A58F2" w:rsidRPr="00051D0F" w14:paraId="25675817" w14:textId="77777777" w:rsidTr="00716C65">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2F7E4837" w14:textId="77777777" w:rsidR="009A58F2" w:rsidRPr="00051D0F" w:rsidRDefault="009A58F2" w:rsidP="00716C65">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ADQUISICIÓN, DESARROLLO Y MANTENIEMIENTO DE SISTEMAS</w:t>
            </w:r>
          </w:p>
        </w:tc>
        <w:tc>
          <w:tcPr>
            <w:tcW w:w="1985" w:type="dxa"/>
            <w:tcBorders>
              <w:top w:val="nil"/>
              <w:left w:val="nil"/>
              <w:bottom w:val="single" w:sz="4" w:space="0" w:color="auto"/>
              <w:right w:val="single" w:sz="4" w:space="0" w:color="auto"/>
            </w:tcBorders>
            <w:shd w:val="clear" w:color="auto" w:fill="auto"/>
            <w:vAlign w:val="center"/>
            <w:hideMark/>
          </w:tcPr>
          <w:p w14:paraId="1AA52380" w14:textId="77777777" w:rsidR="009A58F2" w:rsidRPr="00051D0F" w:rsidRDefault="009A58F2" w:rsidP="00716C65">
            <w:pPr>
              <w:jc w:val="center"/>
              <w:rPr>
                <w:rFonts w:ascii="Calibri" w:eastAsia="Times New Roman" w:hAnsi="Calibri" w:cs="Calibri"/>
                <w:color w:val="000000"/>
                <w:sz w:val="20"/>
                <w:szCs w:val="20"/>
                <w:lang w:val="es-CO" w:eastAsia="es-CO"/>
              </w:rPr>
            </w:pPr>
            <w:r>
              <w:rPr>
                <w:rFonts w:ascii="Calibri" w:eastAsia="Times New Roman" w:hAnsi="Calibri" w:cs="Calibri"/>
                <w:color w:val="000000"/>
                <w:sz w:val="20"/>
                <w:szCs w:val="20"/>
                <w:lang w:val="es-CO" w:eastAsia="es-CO"/>
              </w:rPr>
              <w:t>87</w:t>
            </w:r>
            <w:r w:rsidRPr="00051D0F">
              <w:rPr>
                <w:rFonts w:ascii="Calibri" w:eastAsia="Times New Roman" w:hAnsi="Calibri" w:cs="Calibri"/>
                <w:color w:val="000000"/>
                <w:sz w:val="20"/>
                <w:szCs w:val="20"/>
                <w:lang w:val="es-CO" w:eastAsia="es-CO"/>
              </w:rPr>
              <w:t>%</w:t>
            </w:r>
          </w:p>
        </w:tc>
        <w:tc>
          <w:tcPr>
            <w:tcW w:w="1996" w:type="dxa"/>
            <w:tcBorders>
              <w:top w:val="nil"/>
              <w:left w:val="nil"/>
              <w:bottom w:val="single" w:sz="4" w:space="0" w:color="auto"/>
              <w:right w:val="single" w:sz="4" w:space="0" w:color="auto"/>
            </w:tcBorders>
            <w:shd w:val="clear" w:color="auto" w:fill="auto"/>
            <w:vAlign w:val="center"/>
            <w:hideMark/>
          </w:tcPr>
          <w:p w14:paraId="4C4F9DD8" w14:textId="77777777" w:rsidR="009A58F2" w:rsidRPr="00051D0F" w:rsidRDefault="009A58F2" w:rsidP="00716C65">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9A58F2" w:rsidRPr="00051D0F" w14:paraId="4D47295E" w14:textId="77777777" w:rsidTr="00716C65">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08AB1E0F" w14:textId="77777777" w:rsidR="009A58F2" w:rsidRPr="00051D0F" w:rsidRDefault="009A58F2" w:rsidP="00716C65">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RELACIONES CON LOS PROVEEDORES</w:t>
            </w:r>
          </w:p>
        </w:tc>
        <w:tc>
          <w:tcPr>
            <w:tcW w:w="1985" w:type="dxa"/>
            <w:tcBorders>
              <w:top w:val="nil"/>
              <w:left w:val="nil"/>
              <w:bottom w:val="single" w:sz="4" w:space="0" w:color="auto"/>
              <w:right w:val="single" w:sz="4" w:space="0" w:color="auto"/>
            </w:tcBorders>
            <w:shd w:val="clear" w:color="auto" w:fill="auto"/>
            <w:vAlign w:val="center"/>
            <w:hideMark/>
          </w:tcPr>
          <w:p w14:paraId="27ACE5AA" w14:textId="77777777" w:rsidR="009A58F2" w:rsidRPr="00051D0F" w:rsidRDefault="009A58F2" w:rsidP="00716C65">
            <w:pPr>
              <w:jc w:val="center"/>
              <w:rPr>
                <w:rFonts w:ascii="Calibri" w:eastAsia="Times New Roman" w:hAnsi="Calibri" w:cs="Calibri"/>
                <w:color w:val="000000"/>
                <w:sz w:val="20"/>
                <w:szCs w:val="20"/>
                <w:lang w:val="es-CO" w:eastAsia="es-CO"/>
              </w:rPr>
            </w:pPr>
            <w:r>
              <w:rPr>
                <w:rFonts w:ascii="Calibri" w:eastAsia="Times New Roman" w:hAnsi="Calibri" w:cs="Calibri"/>
                <w:color w:val="000000"/>
                <w:sz w:val="20"/>
                <w:szCs w:val="20"/>
                <w:lang w:val="es-CO" w:eastAsia="es-CO"/>
              </w:rPr>
              <w:t>80</w:t>
            </w:r>
            <w:r w:rsidRPr="00051D0F">
              <w:rPr>
                <w:rFonts w:ascii="Calibri" w:eastAsia="Times New Roman" w:hAnsi="Calibri" w:cs="Calibri"/>
                <w:color w:val="000000"/>
                <w:sz w:val="20"/>
                <w:szCs w:val="20"/>
                <w:lang w:val="es-CO" w:eastAsia="es-CO"/>
              </w:rPr>
              <w:t>%</w:t>
            </w:r>
          </w:p>
        </w:tc>
        <w:tc>
          <w:tcPr>
            <w:tcW w:w="1996" w:type="dxa"/>
            <w:tcBorders>
              <w:top w:val="nil"/>
              <w:left w:val="nil"/>
              <w:bottom w:val="single" w:sz="4" w:space="0" w:color="auto"/>
              <w:right w:val="single" w:sz="4" w:space="0" w:color="auto"/>
            </w:tcBorders>
            <w:shd w:val="clear" w:color="auto" w:fill="auto"/>
            <w:vAlign w:val="center"/>
            <w:hideMark/>
          </w:tcPr>
          <w:p w14:paraId="2EF377C9" w14:textId="77777777" w:rsidR="009A58F2" w:rsidRPr="00051D0F" w:rsidRDefault="009A58F2" w:rsidP="00716C65">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9A58F2" w:rsidRPr="00051D0F" w14:paraId="46DD61A6" w14:textId="77777777" w:rsidTr="00716C65">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3E0AE2B3" w14:textId="77777777" w:rsidR="009A58F2" w:rsidRPr="00051D0F" w:rsidRDefault="009A58F2" w:rsidP="00716C65">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GESTIÓN DE INCIDENTES DE SEGURIDAD DE LA INFORMACIÓN</w:t>
            </w:r>
          </w:p>
        </w:tc>
        <w:tc>
          <w:tcPr>
            <w:tcW w:w="1985" w:type="dxa"/>
            <w:tcBorders>
              <w:top w:val="nil"/>
              <w:left w:val="nil"/>
              <w:bottom w:val="single" w:sz="4" w:space="0" w:color="auto"/>
              <w:right w:val="single" w:sz="4" w:space="0" w:color="auto"/>
            </w:tcBorders>
            <w:shd w:val="clear" w:color="auto" w:fill="auto"/>
            <w:vAlign w:val="center"/>
            <w:hideMark/>
          </w:tcPr>
          <w:p w14:paraId="42A7C7EA" w14:textId="77777777" w:rsidR="009A58F2" w:rsidRPr="00051D0F" w:rsidRDefault="009A58F2" w:rsidP="00716C65">
            <w:pPr>
              <w:jc w:val="center"/>
              <w:rPr>
                <w:rFonts w:ascii="Calibri" w:eastAsia="Times New Roman" w:hAnsi="Calibri" w:cs="Calibri"/>
                <w:color w:val="000000"/>
                <w:sz w:val="20"/>
                <w:szCs w:val="20"/>
                <w:lang w:val="es-CO" w:eastAsia="es-CO"/>
              </w:rPr>
            </w:pPr>
            <w:r>
              <w:rPr>
                <w:rFonts w:ascii="Calibri" w:eastAsia="Times New Roman" w:hAnsi="Calibri" w:cs="Calibri"/>
                <w:color w:val="000000"/>
                <w:sz w:val="20"/>
                <w:szCs w:val="20"/>
                <w:lang w:val="es-CO" w:eastAsia="es-CO"/>
              </w:rPr>
              <w:t>4</w:t>
            </w:r>
            <w:r w:rsidRPr="00051D0F">
              <w:rPr>
                <w:rFonts w:ascii="Calibri" w:eastAsia="Times New Roman" w:hAnsi="Calibri" w:cs="Calibri"/>
                <w:color w:val="000000"/>
                <w:sz w:val="20"/>
                <w:szCs w:val="20"/>
                <w:lang w:val="es-CO" w:eastAsia="es-CO"/>
              </w:rPr>
              <w:t>0%</w:t>
            </w:r>
          </w:p>
        </w:tc>
        <w:tc>
          <w:tcPr>
            <w:tcW w:w="1996" w:type="dxa"/>
            <w:tcBorders>
              <w:top w:val="nil"/>
              <w:left w:val="nil"/>
              <w:bottom w:val="single" w:sz="4" w:space="0" w:color="auto"/>
              <w:right w:val="single" w:sz="4" w:space="0" w:color="auto"/>
            </w:tcBorders>
            <w:shd w:val="clear" w:color="auto" w:fill="auto"/>
            <w:vAlign w:val="center"/>
            <w:hideMark/>
          </w:tcPr>
          <w:p w14:paraId="39AD4283" w14:textId="77777777" w:rsidR="009A58F2" w:rsidRPr="00051D0F" w:rsidRDefault="009A58F2" w:rsidP="00716C65">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9A58F2" w:rsidRPr="00051D0F" w14:paraId="74425616" w14:textId="77777777" w:rsidTr="00716C65">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35F7F0C7" w14:textId="77777777" w:rsidR="009A58F2" w:rsidRPr="00051D0F" w:rsidRDefault="009A58F2" w:rsidP="00716C65">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ASPECTOS DE SEGURIDAD DE LA INFORMACIÓN DE LA GESTIÓN DE CONTINUIDAD DE NEGOCIO</w:t>
            </w:r>
          </w:p>
        </w:tc>
        <w:tc>
          <w:tcPr>
            <w:tcW w:w="1985" w:type="dxa"/>
            <w:tcBorders>
              <w:top w:val="nil"/>
              <w:left w:val="nil"/>
              <w:bottom w:val="single" w:sz="4" w:space="0" w:color="auto"/>
              <w:right w:val="single" w:sz="4" w:space="0" w:color="auto"/>
            </w:tcBorders>
            <w:shd w:val="clear" w:color="auto" w:fill="auto"/>
            <w:vAlign w:val="center"/>
            <w:hideMark/>
          </w:tcPr>
          <w:p w14:paraId="03DCC31C" w14:textId="77777777" w:rsidR="009A58F2" w:rsidRPr="00051D0F" w:rsidRDefault="009A58F2" w:rsidP="00716C65">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7</w:t>
            </w:r>
            <w:r>
              <w:rPr>
                <w:rFonts w:ascii="Calibri" w:eastAsia="Times New Roman" w:hAnsi="Calibri" w:cs="Calibri"/>
                <w:color w:val="000000"/>
                <w:sz w:val="20"/>
                <w:szCs w:val="20"/>
                <w:lang w:val="es-CO" w:eastAsia="es-CO"/>
              </w:rPr>
              <w:t>0</w:t>
            </w:r>
            <w:r w:rsidRPr="00051D0F">
              <w:rPr>
                <w:rFonts w:ascii="Calibri" w:eastAsia="Times New Roman" w:hAnsi="Calibri" w:cs="Calibri"/>
                <w:color w:val="000000"/>
                <w:sz w:val="20"/>
                <w:szCs w:val="20"/>
                <w:lang w:val="es-CO" w:eastAsia="es-CO"/>
              </w:rPr>
              <w:t>%</w:t>
            </w:r>
          </w:p>
        </w:tc>
        <w:tc>
          <w:tcPr>
            <w:tcW w:w="1996" w:type="dxa"/>
            <w:tcBorders>
              <w:top w:val="nil"/>
              <w:left w:val="nil"/>
              <w:bottom w:val="single" w:sz="4" w:space="0" w:color="auto"/>
              <w:right w:val="single" w:sz="4" w:space="0" w:color="auto"/>
            </w:tcBorders>
            <w:shd w:val="clear" w:color="auto" w:fill="auto"/>
            <w:vAlign w:val="center"/>
            <w:hideMark/>
          </w:tcPr>
          <w:p w14:paraId="4735C138" w14:textId="77777777" w:rsidR="009A58F2" w:rsidRPr="00051D0F" w:rsidRDefault="009A58F2" w:rsidP="00716C65">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r w:rsidR="009A58F2" w:rsidRPr="00051D0F" w14:paraId="3C6447C2" w14:textId="77777777" w:rsidTr="00716C65">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2FED748B" w14:textId="77777777" w:rsidR="009A58F2" w:rsidRPr="00051D0F" w:rsidRDefault="009A58F2" w:rsidP="00716C65">
            <w:pP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CUMPLIMIENTO</w:t>
            </w:r>
          </w:p>
        </w:tc>
        <w:tc>
          <w:tcPr>
            <w:tcW w:w="1985" w:type="dxa"/>
            <w:tcBorders>
              <w:top w:val="nil"/>
              <w:left w:val="nil"/>
              <w:bottom w:val="single" w:sz="4" w:space="0" w:color="auto"/>
              <w:right w:val="single" w:sz="4" w:space="0" w:color="auto"/>
            </w:tcBorders>
            <w:shd w:val="clear" w:color="auto" w:fill="auto"/>
            <w:vAlign w:val="center"/>
            <w:hideMark/>
          </w:tcPr>
          <w:p w14:paraId="439CB75C" w14:textId="77777777" w:rsidR="009A58F2" w:rsidRPr="00051D0F" w:rsidRDefault="009A58F2" w:rsidP="00716C65">
            <w:pPr>
              <w:jc w:val="center"/>
              <w:rPr>
                <w:rFonts w:ascii="Calibri" w:eastAsia="Times New Roman" w:hAnsi="Calibri" w:cs="Calibri"/>
                <w:color w:val="000000"/>
                <w:sz w:val="20"/>
                <w:szCs w:val="20"/>
                <w:lang w:val="es-CO" w:eastAsia="es-CO"/>
              </w:rPr>
            </w:pPr>
            <w:r>
              <w:rPr>
                <w:rFonts w:ascii="Calibri" w:eastAsia="Times New Roman" w:hAnsi="Calibri" w:cs="Calibri"/>
                <w:color w:val="000000"/>
                <w:sz w:val="20"/>
                <w:szCs w:val="20"/>
                <w:lang w:val="es-CO" w:eastAsia="es-CO"/>
              </w:rPr>
              <w:t>73</w:t>
            </w:r>
            <w:r w:rsidRPr="00051D0F">
              <w:rPr>
                <w:rFonts w:ascii="Calibri" w:eastAsia="Times New Roman" w:hAnsi="Calibri" w:cs="Calibri"/>
                <w:color w:val="000000"/>
                <w:sz w:val="20"/>
                <w:szCs w:val="20"/>
                <w:lang w:val="es-CO" w:eastAsia="es-CO"/>
              </w:rPr>
              <w:t>%</w:t>
            </w:r>
          </w:p>
        </w:tc>
        <w:tc>
          <w:tcPr>
            <w:tcW w:w="1996" w:type="dxa"/>
            <w:tcBorders>
              <w:top w:val="nil"/>
              <w:left w:val="nil"/>
              <w:bottom w:val="single" w:sz="4" w:space="0" w:color="auto"/>
              <w:right w:val="single" w:sz="4" w:space="0" w:color="auto"/>
            </w:tcBorders>
            <w:shd w:val="clear" w:color="auto" w:fill="auto"/>
            <w:vAlign w:val="center"/>
            <w:hideMark/>
          </w:tcPr>
          <w:p w14:paraId="6E332D78" w14:textId="77777777" w:rsidR="009A58F2" w:rsidRPr="00051D0F" w:rsidRDefault="009A58F2" w:rsidP="00716C65">
            <w:pPr>
              <w:jc w:val="center"/>
              <w:rPr>
                <w:rFonts w:ascii="Calibri" w:eastAsia="Times New Roman" w:hAnsi="Calibri" w:cs="Calibri"/>
                <w:color w:val="000000"/>
                <w:sz w:val="20"/>
                <w:szCs w:val="20"/>
                <w:lang w:val="es-CO" w:eastAsia="es-CO"/>
              </w:rPr>
            </w:pPr>
            <w:r w:rsidRPr="00051D0F">
              <w:rPr>
                <w:rFonts w:ascii="Calibri" w:eastAsia="Times New Roman" w:hAnsi="Calibri" w:cs="Calibri"/>
                <w:color w:val="000000"/>
                <w:sz w:val="20"/>
                <w:szCs w:val="20"/>
                <w:lang w:val="es-CO" w:eastAsia="es-CO"/>
              </w:rPr>
              <w:t>100%</w:t>
            </w:r>
          </w:p>
        </w:tc>
      </w:tr>
    </w:tbl>
    <w:p w14:paraId="6E21BE5B" w14:textId="77777777" w:rsidR="009A58F2" w:rsidRPr="006812C9" w:rsidRDefault="009A58F2" w:rsidP="009A58F2">
      <w:pPr>
        <w:rPr>
          <w:rFonts w:ascii="Open Sans" w:hAnsi="Open Sans" w:cs="Open Sans"/>
          <w:color w:val="000000" w:themeColor="text1"/>
        </w:rPr>
      </w:pPr>
    </w:p>
    <w:p w14:paraId="1F90A3F1" w14:textId="77777777" w:rsidR="009A58F2" w:rsidRPr="00C37EF4" w:rsidRDefault="009A58F2" w:rsidP="009A58F2">
      <w:pPr>
        <w:pStyle w:val="Descripcin"/>
        <w:jc w:val="center"/>
        <w:rPr>
          <w:rFonts w:cs="Open Sans"/>
          <w:b/>
          <w:color w:val="000000" w:themeColor="text1"/>
          <w:szCs w:val="24"/>
        </w:rPr>
      </w:pPr>
      <w:r w:rsidRPr="00C37EF4">
        <w:rPr>
          <w:rFonts w:cs="Open Sans"/>
          <w:color w:val="000000" w:themeColor="text1"/>
          <w:szCs w:val="24"/>
        </w:rPr>
        <w:t xml:space="preserve">Tabla </w:t>
      </w:r>
      <w:r w:rsidRPr="00C37EF4">
        <w:rPr>
          <w:rFonts w:cs="Open Sans"/>
          <w:b/>
          <w:color w:val="000000" w:themeColor="text1"/>
          <w:szCs w:val="24"/>
        </w:rPr>
        <w:fldChar w:fldCharType="begin"/>
      </w:r>
      <w:r w:rsidRPr="00C37EF4">
        <w:rPr>
          <w:rFonts w:cs="Open Sans"/>
          <w:color w:val="000000" w:themeColor="text1"/>
          <w:szCs w:val="24"/>
        </w:rPr>
        <w:instrText xml:space="preserve"> SEQ Tabla \* ARABIC </w:instrText>
      </w:r>
      <w:r w:rsidRPr="00C37EF4">
        <w:rPr>
          <w:rFonts w:cs="Open Sans"/>
          <w:b/>
          <w:color w:val="000000" w:themeColor="text1"/>
          <w:szCs w:val="24"/>
        </w:rPr>
        <w:fldChar w:fldCharType="separate"/>
      </w:r>
      <w:r>
        <w:rPr>
          <w:rFonts w:cs="Open Sans"/>
          <w:noProof/>
          <w:color w:val="000000" w:themeColor="text1"/>
          <w:szCs w:val="24"/>
        </w:rPr>
        <w:t>7</w:t>
      </w:r>
      <w:r w:rsidRPr="00C37EF4">
        <w:rPr>
          <w:rFonts w:cs="Open Sans"/>
          <w:b/>
          <w:color w:val="000000" w:themeColor="text1"/>
          <w:szCs w:val="24"/>
        </w:rPr>
        <w:fldChar w:fldCharType="end"/>
      </w:r>
      <w:r w:rsidRPr="00C37EF4">
        <w:rPr>
          <w:rFonts w:cs="Open Sans"/>
          <w:color w:val="000000" w:themeColor="text1"/>
          <w:szCs w:val="24"/>
        </w:rPr>
        <w:t>. Detalle del Nivel de Madurez del Anexo A ISO/IEC 2700</w:t>
      </w:r>
      <w:r>
        <w:rPr>
          <w:rFonts w:cs="Open Sans"/>
          <w:color w:val="000000" w:themeColor="text1"/>
          <w:szCs w:val="24"/>
        </w:rPr>
        <w:t>1</w:t>
      </w:r>
    </w:p>
    <w:p w14:paraId="0AEE2A33" w14:textId="77777777" w:rsidR="009A58F2" w:rsidRPr="00C37EF4" w:rsidRDefault="009A58F2" w:rsidP="009A58F2">
      <w:pPr>
        <w:rPr>
          <w:rFonts w:ascii="Open Sans" w:hAnsi="Open Sans" w:cs="Open Sans"/>
          <w:color w:val="000000" w:themeColor="text1"/>
          <w:szCs w:val="24"/>
        </w:rPr>
      </w:pPr>
      <w:r w:rsidRPr="00C37EF4">
        <w:rPr>
          <w:rFonts w:ascii="Open Sans" w:hAnsi="Open Sans" w:cs="Open Sans"/>
          <w:color w:val="000000" w:themeColor="text1"/>
          <w:szCs w:val="24"/>
        </w:rPr>
        <w:t xml:space="preserve">Como se observa en la Tabla </w:t>
      </w:r>
      <w:r>
        <w:rPr>
          <w:rFonts w:ascii="Open Sans" w:hAnsi="Open Sans" w:cs="Open Sans"/>
          <w:color w:val="000000" w:themeColor="text1"/>
          <w:szCs w:val="24"/>
        </w:rPr>
        <w:t>7</w:t>
      </w:r>
      <w:r w:rsidRPr="00C37EF4">
        <w:rPr>
          <w:rFonts w:ascii="Open Sans" w:hAnsi="Open Sans" w:cs="Open Sans"/>
          <w:color w:val="000000" w:themeColor="text1"/>
          <w:szCs w:val="24"/>
        </w:rPr>
        <w:t xml:space="preserve">, </w:t>
      </w:r>
      <w:r w:rsidRPr="00C37EF4">
        <w:rPr>
          <w:rFonts w:ascii="Open Sans" w:hAnsi="Open Sans" w:cs="Open Sans"/>
          <w:color w:val="000000" w:themeColor="text1"/>
        </w:rPr>
        <w:t xml:space="preserve">el </w:t>
      </w:r>
      <w:r>
        <w:rPr>
          <w:rFonts w:ascii="Open Sans" w:hAnsi="Open Sans" w:cs="Open Sans"/>
          <w:color w:val="000000" w:themeColor="text1"/>
        </w:rPr>
        <w:t>Instituto Nacional de Salud</w:t>
      </w:r>
      <w:r w:rsidRPr="00C37EF4">
        <w:rPr>
          <w:rFonts w:ascii="Open Sans" w:hAnsi="Open Sans" w:cs="Open Sans"/>
          <w:color w:val="000000" w:themeColor="text1"/>
          <w:szCs w:val="24"/>
        </w:rPr>
        <w:t xml:space="preserve"> presenta como resultado de implementación del Anexo A </w:t>
      </w:r>
      <w:r>
        <w:rPr>
          <w:rFonts w:ascii="Open Sans" w:hAnsi="Open Sans" w:cs="Open Sans"/>
          <w:color w:val="000000" w:themeColor="text1"/>
          <w:szCs w:val="24"/>
        </w:rPr>
        <w:t>del estándar</w:t>
      </w:r>
      <w:r w:rsidRPr="00C37EF4">
        <w:rPr>
          <w:rFonts w:ascii="Open Sans" w:hAnsi="Open Sans" w:cs="Open Sans"/>
          <w:color w:val="000000" w:themeColor="text1"/>
          <w:szCs w:val="24"/>
        </w:rPr>
        <w:t xml:space="preserve"> ISO/IEC 2700</w:t>
      </w:r>
      <w:r>
        <w:rPr>
          <w:rFonts w:ascii="Open Sans" w:hAnsi="Open Sans" w:cs="Open Sans"/>
          <w:color w:val="000000" w:themeColor="text1"/>
          <w:szCs w:val="24"/>
        </w:rPr>
        <w:t>1</w:t>
      </w:r>
      <w:r w:rsidRPr="00C37EF4">
        <w:rPr>
          <w:rFonts w:ascii="Open Sans" w:hAnsi="Open Sans" w:cs="Open Sans"/>
          <w:color w:val="000000" w:themeColor="text1"/>
          <w:szCs w:val="24"/>
        </w:rPr>
        <w:t xml:space="preserve">:2015 un nivel de madurez </w:t>
      </w:r>
      <w:r w:rsidR="00680FB9" w:rsidRPr="00680FB9">
        <w:rPr>
          <w:rFonts w:ascii="Open Sans" w:hAnsi="Open Sans" w:cs="Open Sans"/>
          <w:b/>
          <w:bCs/>
          <w:color w:val="000000" w:themeColor="text1"/>
          <w:szCs w:val="24"/>
        </w:rPr>
        <w:t>ADMINISTRADO</w:t>
      </w:r>
      <w:r w:rsidRPr="00051D0F">
        <w:rPr>
          <w:rFonts w:ascii="Open Sans" w:hAnsi="Open Sans" w:cs="Open Sans"/>
          <w:b/>
          <w:i/>
          <w:color w:val="000000" w:themeColor="text1"/>
          <w:szCs w:val="24"/>
          <w:u w:val="single"/>
        </w:rPr>
        <w:t xml:space="preserve"> </w:t>
      </w:r>
      <w:r w:rsidRPr="00051D0F">
        <w:rPr>
          <w:rFonts w:ascii="Open Sans" w:hAnsi="Open Sans" w:cs="Open Sans"/>
          <w:b/>
          <w:color w:val="000000" w:themeColor="text1"/>
          <w:szCs w:val="24"/>
          <w:u w:val="single"/>
        </w:rPr>
        <w:t xml:space="preserve">con un </w:t>
      </w:r>
      <w:r w:rsidR="00680FB9">
        <w:rPr>
          <w:rFonts w:ascii="Open Sans" w:hAnsi="Open Sans" w:cs="Open Sans"/>
          <w:b/>
          <w:color w:val="000000" w:themeColor="text1"/>
          <w:szCs w:val="24"/>
          <w:u w:val="single"/>
        </w:rPr>
        <w:t>67</w:t>
      </w:r>
      <w:r w:rsidRPr="00051D0F">
        <w:rPr>
          <w:rFonts w:ascii="Open Sans" w:hAnsi="Open Sans" w:cs="Open Sans"/>
          <w:b/>
          <w:i/>
          <w:color w:val="000000" w:themeColor="text1"/>
          <w:szCs w:val="24"/>
          <w:u w:val="single"/>
        </w:rPr>
        <w:t>%</w:t>
      </w:r>
      <w:r w:rsidRPr="00876676">
        <w:rPr>
          <w:rFonts w:ascii="Open Sans" w:hAnsi="Open Sans" w:cs="Open Sans"/>
          <w:i/>
          <w:color w:val="000000" w:themeColor="text1"/>
          <w:szCs w:val="24"/>
        </w:rPr>
        <w:t>.</w:t>
      </w:r>
      <w:r w:rsidRPr="00C37EF4">
        <w:rPr>
          <w:rFonts w:ascii="Open Sans" w:hAnsi="Open Sans" w:cs="Open Sans"/>
          <w:color w:val="000000" w:themeColor="text1"/>
          <w:szCs w:val="24"/>
        </w:rPr>
        <w:t xml:space="preserve"> </w:t>
      </w:r>
      <w:r>
        <w:rPr>
          <w:rFonts w:ascii="Open Sans" w:hAnsi="Open Sans" w:cs="Open Sans"/>
          <w:color w:val="000000" w:themeColor="text1"/>
          <w:szCs w:val="24"/>
        </w:rPr>
        <w:t xml:space="preserve"> En la ilustración 7</w:t>
      </w:r>
      <w:r w:rsidRPr="00C37EF4">
        <w:rPr>
          <w:rFonts w:ascii="Open Sans" w:hAnsi="Open Sans" w:cs="Open Sans"/>
          <w:color w:val="000000" w:themeColor="text1"/>
          <w:szCs w:val="24"/>
        </w:rPr>
        <w:t>, se representa el nivel de madurez correspondiente a cada uno de los dominios del Anexo A ISO/IEC 2700</w:t>
      </w:r>
      <w:r>
        <w:rPr>
          <w:rFonts w:ascii="Open Sans" w:hAnsi="Open Sans" w:cs="Open Sans"/>
          <w:color w:val="000000" w:themeColor="text1"/>
          <w:szCs w:val="24"/>
        </w:rPr>
        <w:t>1</w:t>
      </w:r>
      <w:r w:rsidRPr="00C37EF4">
        <w:rPr>
          <w:rFonts w:ascii="Open Sans" w:hAnsi="Open Sans" w:cs="Open Sans"/>
          <w:color w:val="000000" w:themeColor="text1"/>
          <w:szCs w:val="24"/>
        </w:rPr>
        <w:t>:2015</w:t>
      </w:r>
      <w:r>
        <w:rPr>
          <w:rFonts w:ascii="Open Sans" w:hAnsi="Open Sans" w:cs="Open Sans"/>
          <w:color w:val="000000" w:themeColor="text1"/>
          <w:szCs w:val="24"/>
        </w:rPr>
        <w:t>.</w:t>
      </w:r>
    </w:p>
    <w:p w14:paraId="6DD58B3D" w14:textId="77777777" w:rsidR="00680FB9" w:rsidRDefault="00680FB9" w:rsidP="000F099B">
      <w:pPr>
        <w:spacing w:after="160" w:line="252" w:lineRule="auto"/>
        <w:rPr>
          <w:lang w:val="es-CO"/>
        </w:rPr>
      </w:pPr>
      <w:r>
        <w:rPr>
          <w:noProof/>
        </w:rPr>
        <w:drawing>
          <wp:anchor distT="0" distB="0" distL="114300" distR="114300" simplePos="0" relativeHeight="251662336" behindDoc="0" locked="0" layoutInCell="1" allowOverlap="1" wp14:anchorId="2C3FC9B9" wp14:editId="262A8DB5">
            <wp:simplePos x="0" y="0"/>
            <wp:positionH relativeFrom="margin">
              <wp:align>left</wp:align>
            </wp:positionH>
            <wp:positionV relativeFrom="paragraph">
              <wp:posOffset>269875</wp:posOffset>
            </wp:positionV>
            <wp:extent cx="6120130" cy="3790950"/>
            <wp:effectExtent l="0" t="0" r="13970" b="0"/>
            <wp:wrapTopAndBottom/>
            <wp:docPr id="536" name="Gráfico 536">
              <a:extLst xmlns:a="http://schemas.openxmlformats.org/drawingml/2006/main">
                <a:ext uri="{FF2B5EF4-FFF2-40B4-BE49-F238E27FC236}">
                  <a16:creationId xmlns:a16="http://schemas.microsoft.com/office/drawing/2014/main" id="{27BF2432-B4A0-4FC7-AD6A-60FAF02E0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p>
    <w:p w14:paraId="344BA383" w14:textId="77777777" w:rsidR="00680FB9" w:rsidRDefault="00680FB9" w:rsidP="00680FB9">
      <w:pPr>
        <w:tabs>
          <w:tab w:val="center" w:pos="4819"/>
        </w:tabs>
        <w:spacing w:after="160" w:line="252" w:lineRule="auto"/>
        <w:jc w:val="center"/>
        <w:rPr>
          <w:lang w:val="es-CO"/>
        </w:rPr>
      </w:pPr>
    </w:p>
    <w:p w14:paraId="54CCB846" w14:textId="77777777" w:rsidR="00680FB9" w:rsidRDefault="00680FB9" w:rsidP="00680FB9">
      <w:pPr>
        <w:tabs>
          <w:tab w:val="center" w:pos="4819"/>
        </w:tabs>
        <w:spacing w:after="160" w:line="252" w:lineRule="auto"/>
        <w:jc w:val="center"/>
        <w:rPr>
          <w:lang w:val="es-CO"/>
        </w:rPr>
      </w:pPr>
    </w:p>
    <w:p w14:paraId="4CC62D8B" w14:textId="77777777" w:rsidR="00680FB9" w:rsidRDefault="00680FB9" w:rsidP="00680FB9">
      <w:pPr>
        <w:tabs>
          <w:tab w:val="center" w:pos="4819"/>
        </w:tabs>
        <w:spacing w:after="160" w:line="252" w:lineRule="auto"/>
        <w:jc w:val="center"/>
        <w:rPr>
          <w:lang w:val="es-CO"/>
        </w:rPr>
      </w:pPr>
    </w:p>
    <w:p w14:paraId="69CE1EB6" w14:textId="77777777" w:rsidR="00680FB9" w:rsidRDefault="00680FB9" w:rsidP="00680FB9">
      <w:pPr>
        <w:tabs>
          <w:tab w:val="center" w:pos="4819"/>
        </w:tabs>
        <w:spacing w:after="160" w:line="252" w:lineRule="auto"/>
        <w:jc w:val="center"/>
        <w:rPr>
          <w:lang w:val="es-CO"/>
        </w:rPr>
      </w:pPr>
    </w:p>
    <w:p w14:paraId="237D1791" w14:textId="77777777" w:rsidR="00680FB9" w:rsidRDefault="00680FB9" w:rsidP="00680FB9">
      <w:pPr>
        <w:tabs>
          <w:tab w:val="center" w:pos="4819"/>
        </w:tabs>
        <w:spacing w:after="160" w:line="252" w:lineRule="auto"/>
        <w:jc w:val="center"/>
        <w:rPr>
          <w:lang w:val="es-CO"/>
        </w:rPr>
      </w:pPr>
    </w:p>
    <w:p w14:paraId="10FDDB4A" w14:textId="77777777" w:rsidR="00680FB9" w:rsidRDefault="00680FB9" w:rsidP="00680FB9">
      <w:pPr>
        <w:tabs>
          <w:tab w:val="center" w:pos="4819"/>
        </w:tabs>
        <w:spacing w:after="160" w:line="252" w:lineRule="auto"/>
        <w:jc w:val="center"/>
        <w:rPr>
          <w:lang w:val="es-CO"/>
        </w:rPr>
      </w:pPr>
    </w:p>
    <w:p w14:paraId="75D24F8A" w14:textId="77777777" w:rsidR="00680FB9" w:rsidRDefault="00680FB9" w:rsidP="00680FB9">
      <w:pPr>
        <w:tabs>
          <w:tab w:val="center" w:pos="4819"/>
        </w:tabs>
        <w:spacing w:after="160" w:line="252" w:lineRule="auto"/>
        <w:jc w:val="center"/>
        <w:rPr>
          <w:lang w:val="es-CO"/>
        </w:rPr>
      </w:pPr>
      <w:r>
        <w:rPr>
          <w:noProof/>
        </w:rPr>
        <w:lastRenderedPageBreak/>
        <w:drawing>
          <wp:inline distT="0" distB="0" distL="0" distR="0" wp14:anchorId="498B27E1" wp14:editId="7A85B562">
            <wp:extent cx="6120130" cy="4442460"/>
            <wp:effectExtent l="0" t="0" r="13970" b="15240"/>
            <wp:docPr id="539" name="Gráfico 539">
              <a:extLst xmlns:a="http://schemas.openxmlformats.org/drawingml/2006/main">
                <a:ext uri="{FF2B5EF4-FFF2-40B4-BE49-F238E27FC236}">
                  <a16:creationId xmlns:a16="http://schemas.microsoft.com/office/drawing/2014/main" id="{99825BDB-093D-436F-B683-115E5C3AD4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42610A" w14:textId="77777777" w:rsidR="000F099B" w:rsidRDefault="000F099B" w:rsidP="00680FB9">
      <w:pPr>
        <w:tabs>
          <w:tab w:val="center" w:pos="4819"/>
        </w:tabs>
        <w:spacing w:after="160" w:line="252" w:lineRule="auto"/>
        <w:rPr>
          <w:lang w:val="es-CO"/>
        </w:rPr>
      </w:pPr>
      <w:r w:rsidRPr="00680FB9">
        <w:rPr>
          <w:lang w:val="es-CO"/>
        </w:rPr>
        <w:br w:type="page"/>
      </w:r>
      <w:r w:rsidR="00680FB9">
        <w:rPr>
          <w:lang w:val="es-CO"/>
        </w:rPr>
        <w:lastRenderedPageBreak/>
        <w:tab/>
      </w:r>
    </w:p>
    <w:p w14:paraId="2D917282" w14:textId="77777777" w:rsidR="000F099B" w:rsidRPr="00051D0F" w:rsidRDefault="000F099B" w:rsidP="000F099B">
      <w:pPr>
        <w:pStyle w:val="Sinespaciado"/>
        <w:rPr>
          <w:lang w:val="es-CO"/>
        </w:rPr>
      </w:pPr>
    </w:p>
    <w:p w14:paraId="3FE2AFB5" w14:textId="77777777" w:rsidR="000F099B" w:rsidRDefault="000F099B" w:rsidP="00187127">
      <w:pPr>
        <w:pStyle w:val="Ttulo1"/>
        <w:keepNext/>
        <w:keepLines/>
        <w:widowControl/>
        <w:numPr>
          <w:ilvl w:val="0"/>
          <w:numId w:val="7"/>
        </w:numPr>
        <w:autoSpaceDE/>
        <w:autoSpaceDN/>
        <w:spacing w:before="320" w:after="40"/>
        <w:ind w:left="426"/>
        <w:jc w:val="both"/>
        <w:rPr>
          <w:rFonts w:ascii="Open Sans" w:hAnsi="Open Sans" w:cs="Open Sans"/>
          <w:lang w:val="es-CO"/>
        </w:rPr>
      </w:pPr>
      <w:bookmarkStart w:id="68" w:name="_Toc528775206"/>
      <w:r w:rsidRPr="006812C9">
        <w:rPr>
          <w:rFonts w:ascii="Open Sans" w:hAnsi="Open Sans" w:cs="Open Sans"/>
          <w:lang w:val="es-CO"/>
        </w:rPr>
        <w:t>CONCLUSIONES</w:t>
      </w:r>
      <w:bookmarkEnd w:id="66"/>
      <w:bookmarkEnd w:id="67"/>
      <w:bookmarkEnd w:id="68"/>
    </w:p>
    <w:p w14:paraId="767B7B5B" w14:textId="77777777" w:rsidR="000F099B" w:rsidRPr="00EA291B" w:rsidRDefault="000F099B" w:rsidP="000F099B">
      <w:pPr>
        <w:rPr>
          <w:lang w:val="es-CO"/>
        </w:rPr>
      </w:pPr>
    </w:p>
    <w:p w14:paraId="7A3852A2" w14:textId="77777777" w:rsidR="000F099B" w:rsidRDefault="000F099B" w:rsidP="000F099B">
      <w:pPr>
        <w:rPr>
          <w:rFonts w:ascii="Open Sans" w:hAnsi="Open Sans" w:cs="Open Sans"/>
          <w:color w:val="000000" w:themeColor="text1"/>
          <w:szCs w:val="24"/>
        </w:rPr>
      </w:pPr>
      <w:r w:rsidRPr="00C37EF4">
        <w:rPr>
          <w:rFonts w:ascii="Open Sans" w:hAnsi="Open Sans" w:cs="Open Sans"/>
          <w:color w:val="000000" w:themeColor="text1"/>
          <w:szCs w:val="24"/>
        </w:rPr>
        <w:t xml:space="preserve">En el análisis de cumplimiento de las cláusulas </w:t>
      </w:r>
      <w:r>
        <w:rPr>
          <w:rFonts w:ascii="Open Sans" w:hAnsi="Open Sans" w:cs="Open Sans"/>
          <w:color w:val="000000" w:themeColor="text1"/>
          <w:szCs w:val="24"/>
        </w:rPr>
        <w:t>del estándar</w:t>
      </w:r>
      <w:r w:rsidRPr="00C37EF4">
        <w:rPr>
          <w:rFonts w:ascii="Open Sans" w:hAnsi="Open Sans" w:cs="Open Sans"/>
          <w:color w:val="000000" w:themeColor="text1"/>
          <w:szCs w:val="24"/>
        </w:rPr>
        <w:t xml:space="preserve"> ISO/IEC 27001:2013, se identific</w:t>
      </w:r>
      <w:r>
        <w:rPr>
          <w:rFonts w:ascii="Open Sans" w:hAnsi="Open Sans" w:cs="Open Sans"/>
          <w:color w:val="000000" w:themeColor="text1"/>
          <w:szCs w:val="24"/>
        </w:rPr>
        <w:t xml:space="preserve">aron avances en las cláusulas de: </w:t>
      </w:r>
      <w:r w:rsidRPr="00146C50">
        <w:rPr>
          <w:rFonts w:ascii="Open Sans" w:hAnsi="Open Sans" w:cs="Open Sans"/>
          <w:color w:val="000000" w:themeColor="text1"/>
          <w:szCs w:val="24"/>
        </w:rPr>
        <w:t>Contexto de la organización</w:t>
      </w:r>
      <w:r>
        <w:rPr>
          <w:rFonts w:ascii="Open Sans" w:hAnsi="Open Sans" w:cs="Open Sans"/>
          <w:color w:val="000000" w:themeColor="text1"/>
          <w:szCs w:val="24"/>
        </w:rPr>
        <w:t xml:space="preserve">, </w:t>
      </w:r>
      <w:r w:rsidRPr="00146C50">
        <w:rPr>
          <w:rFonts w:ascii="Open Sans" w:hAnsi="Open Sans" w:cs="Open Sans"/>
          <w:color w:val="000000" w:themeColor="text1"/>
          <w:szCs w:val="24"/>
        </w:rPr>
        <w:t>Liderazgo</w:t>
      </w:r>
      <w:r>
        <w:rPr>
          <w:rFonts w:ascii="Open Sans" w:hAnsi="Open Sans" w:cs="Open Sans"/>
          <w:color w:val="000000" w:themeColor="text1"/>
          <w:szCs w:val="24"/>
        </w:rPr>
        <w:t xml:space="preserve">, </w:t>
      </w:r>
      <w:r w:rsidRPr="00146C50">
        <w:rPr>
          <w:rFonts w:ascii="Open Sans" w:hAnsi="Open Sans" w:cs="Open Sans"/>
          <w:color w:val="000000" w:themeColor="text1"/>
          <w:szCs w:val="24"/>
        </w:rPr>
        <w:t>Planificación</w:t>
      </w:r>
      <w:r>
        <w:rPr>
          <w:rFonts w:ascii="Open Sans" w:hAnsi="Open Sans" w:cs="Open Sans"/>
          <w:color w:val="000000" w:themeColor="text1"/>
          <w:szCs w:val="24"/>
        </w:rPr>
        <w:t xml:space="preserve">, </w:t>
      </w:r>
      <w:r w:rsidRPr="00146C50">
        <w:rPr>
          <w:rFonts w:ascii="Open Sans" w:hAnsi="Open Sans" w:cs="Open Sans"/>
          <w:color w:val="000000" w:themeColor="text1"/>
          <w:szCs w:val="24"/>
        </w:rPr>
        <w:t>Soporte</w:t>
      </w:r>
      <w:r>
        <w:rPr>
          <w:rFonts w:ascii="Open Sans" w:hAnsi="Open Sans" w:cs="Open Sans"/>
          <w:color w:val="000000" w:themeColor="text1"/>
          <w:szCs w:val="24"/>
        </w:rPr>
        <w:t xml:space="preserve">, </w:t>
      </w:r>
      <w:r w:rsidRPr="00146C50">
        <w:rPr>
          <w:rFonts w:ascii="Open Sans" w:hAnsi="Open Sans" w:cs="Open Sans"/>
          <w:color w:val="000000" w:themeColor="text1"/>
          <w:szCs w:val="24"/>
        </w:rPr>
        <w:t>Operación</w:t>
      </w:r>
      <w:r>
        <w:rPr>
          <w:rFonts w:ascii="Open Sans" w:hAnsi="Open Sans" w:cs="Open Sans"/>
          <w:color w:val="000000" w:themeColor="text1"/>
          <w:szCs w:val="24"/>
        </w:rPr>
        <w:t xml:space="preserve"> pero en general se requieren planes de acción en cada una de las cláusulas </w:t>
      </w:r>
      <w:proofErr w:type="spellStart"/>
      <w:r>
        <w:rPr>
          <w:rFonts w:ascii="Open Sans" w:hAnsi="Open Sans" w:cs="Open Sans"/>
          <w:color w:val="000000" w:themeColor="text1"/>
          <w:szCs w:val="24"/>
        </w:rPr>
        <w:t>mandatorias</w:t>
      </w:r>
      <w:proofErr w:type="spellEnd"/>
      <w:r>
        <w:rPr>
          <w:rFonts w:ascii="Open Sans" w:hAnsi="Open Sans" w:cs="Open Sans"/>
          <w:color w:val="000000" w:themeColor="text1"/>
          <w:szCs w:val="24"/>
        </w:rPr>
        <w:t xml:space="preserve"> para lograr el cumplimiento exigido por el Modelo de Seguridad y Privacidad de la Información del MINTIC, el cual requiere para este año un nivel de madurez del 100% para entidades de gobierno a nivel nacional como el INS.</w:t>
      </w:r>
    </w:p>
    <w:p w14:paraId="5DC7055D" w14:textId="77777777" w:rsidR="000F099B" w:rsidRDefault="000F099B" w:rsidP="000F099B">
      <w:pPr>
        <w:rPr>
          <w:rFonts w:ascii="Open Sans" w:hAnsi="Open Sans" w:cs="Open Sans"/>
          <w:color w:val="000000" w:themeColor="text1"/>
          <w:szCs w:val="24"/>
        </w:rPr>
      </w:pPr>
    </w:p>
    <w:p w14:paraId="3725AC02" w14:textId="77777777" w:rsidR="000F099B" w:rsidRDefault="000F099B" w:rsidP="000F099B">
      <w:pPr>
        <w:rPr>
          <w:rFonts w:ascii="Open Sans" w:hAnsi="Open Sans" w:cs="Open Sans"/>
          <w:color w:val="000000" w:themeColor="text1"/>
          <w:szCs w:val="24"/>
        </w:rPr>
      </w:pPr>
      <w:r>
        <w:rPr>
          <w:rFonts w:ascii="Open Sans" w:hAnsi="Open Sans" w:cs="Open Sans"/>
          <w:color w:val="000000" w:themeColor="text1"/>
          <w:szCs w:val="24"/>
        </w:rPr>
        <w:t>E</w:t>
      </w:r>
      <w:r w:rsidRPr="00C37EF4">
        <w:rPr>
          <w:rFonts w:ascii="Open Sans" w:hAnsi="Open Sans" w:cs="Open Sans"/>
          <w:color w:val="000000" w:themeColor="text1"/>
          <w:szCs w:val="24"/>
        </w:rPr>
        <w:t xml:space="preserve">l nivel de madurez </w:t>
      </w:r>
      <w:r>
        <w:rPr>
          <w:rFonts w:ascii="Open Sans" w:hAnsi="Open Sans" w:cs="Open Sans"/>
          <w:color w:val="000000" w:themeColor="text1"/>
          <w:szCs w:val="24"/>
        </w:rPr>
        <w:t xml:space="preserve">de implementación de las cláusulas </w:t>
      </w:r>
      <w:proofErr w:type="spellStart"/>
      <w:r>
        <w:rPr>
          <w:rFonts w:ascii="Open Sans" w:hAnsi="Open Sans" w:cs="Open Sans"/>
          <w:color w:val="000000" w:themeColor="text1"/>
          <w:szCs w:val="24"/>
        </w:rPr>
        <w:t>mandatorias</w:t>
      </w:r>
      <w:proofErr w:type="spellEnd"/>
      <w:r>
        <w:rPr>
          <w:rFonts w:ascii="Open Sans" w:hAnsi="Open Sans" w:cs="Open Sans"/>
          <w:color w:val="000000" w:themeColor="text1"/>
          <w:szCs w:val="24"/>
        </w:rPr>
        <w:t xml:space="preserve"> del estándar</w:t>
      </w:r>
      <w:r w:rsidRPr="00C37EF4">
        <w:rPr>
          <w:rFonts w:ascii="Open Sans" w:hAnsi="Open Sans" w:cs="Open Sans"/>
          <w:color w:val="000000" w:themeColor="text1"/>
          <w:szCs w:val="24"/>
        </w:rPr>
        <w:t xml:space="preserve"> ISO/IEC 27001:2013</w:t>
      </w:r>
      <w:r>
        <w:rPr>
          <w:rFonts w:ascii="Open Sans" w:hAnsi="Open Sans" w:cs="Open Sans"/>
          <w:color w:val="000000" w:themeColor="text1"/>
          <w:szCs w:val="24"/>
        </w:rPr>
        <w:t xml:space="preserve">, </w:t>
      </w:r>
      <w:r w:rsidRPr="00C37EF4">
        <w:rPr>
          <w:rFonts w:ascii="Open Sans" w:hAnsi="Open Sans" w:cs="Open Sans"/>
          <w:color w:val="000000" w:themeColor="text1"/>
          <w:szCs w:val="24"/>
        </w:rPr>
        <w:t xml:space="preserve">se encuentra en </w:t>
      </w:r>
      <w:r>
        <w:rPr>
          <w:rFonts w:ascii="Open Sans" w:hAnsi="Open Sans" w:cs="Open Sans"/>
          <w:color w:val="000000" w:themeColor="text1"/>
          <w:szCs w:val="24"/>
        </w:rPr>
        <w:t>Repetible con un 24%.</w:t>
      </w:r>
    </w:p>
    <w:p w14:paraId="3B449FCB" w14:textId="77777777" w:rsidR="000F099B" w:rsidRDefault="000F099B" w:rsidP="000F099B">
      <w:pPr>
        <w:pStyle w:val="Sinespaciado"/>
      </w:pPr>
    </w:p>
    <w:p w14:paraId="52B30B22" w14:textId="77777777" w:rsidR="000F099B" w:rsidRDefault="000F099B" w:rsidP="000F099B">
      <w:pPr>
        <w:rPr>
          <w:rFonts w:ascii="Open Sans" w:hAnsi="Open Sans" w:cs="Open Sans"/>
          <w:color w:val="000000" w:themeColor="text1"/>
          <w:szCs w:val="24"/>
        </w:rPr>
      </w:pPr>
      <w:r w:rsidRPr="00677006">
        <w:rPr>
          <w:rFonts w:ascii="Open Sans" w:hAnsi="Open Sans" w:cs="Open Sans"/>
          <w:color w:val="000000" w:themeColor="text1"/>
          <w:szCs w:val="24"/>
        </w:rPr>
        <w:t xml:space="preserve">En cuanto al cumplimiento de los objetivos de control contemplados en el Anexo A del </w:t>
      </w:r>
      <w:r>
        <w:rPr>
          <w:rFonts w:ascii="Open Sans" w:hAnsi="Open Sans" w:cs="Open Sans"/>
          <w:color w:val="000000" w:themeColor="text1"/>
          <w:szCs w:val="24"/>
        </w:rPr>
        <w:t>estándar</w:t>
      </w:r>
      <w:r w:rsidRPr="00C37EF4">
        <w:rPr>
          <w:rFonts w:ascii="Open Sans" w:hAnsi="Open Sans" w:cs="Open Sans"/>
          <w:color w:val="000000" w:themeColor="text1"/>
          <w:szCs w:val="24"/>
        </w:rPr>
        <w:t xml:space="preserve"> ISO/IEC 27001:2013</w:t>
      </w:r>
      <w:r>
        <w:rPr>
          <w:rFonts w:ascii="Open Sans" w:hAnsi="Open Sans" w:cs="Open Sans"/>
          <w:color w:val="000000" w:themeColor="text1"/>
          <w:szCs w:val="24"/>
        </w:rPr>
        <w:t>, se identifica esfuerzos realizados llegando a un nivel de madurez Definido con un 45%, pero al igual que con las cláusulas se requieren planes de acción en cada objetivo de control para garantizar el cumplimiento exigido por el Modelo de Seguridad y Privacidad de la Información del MINTIC.</w:t>
      </w:r>
      <w:r>
        <w:rPr>
          <w:rFonts w:ascii="Open Sans" w:hAnsi="Open Sans" w:cs="Open Sans"/>
          <w:color w:val="000000" w:themeColor="text1"/>
          <w:szCs w:val="24"/>
        </w:rPr>
        <w:fldChar w:fldCharType="begin"/>
      </w:r>
      <w:r>
        <w:rPr>
          <w:rFonts w:ascii="Open Sans" w:hAnsi="Open Sans" w:cs="Open Sans"/>
          <w:color w:val="000000" w:themeColor="text1"/>
          <w:szCs w:val="24"/>
        </w:rPr>
        <w:instrText xml:space="preserve">  </w:instrText>
      </w:r>
      <w:r>
        <w:rPr>
          <w:rFonts w:ascii="Open Sans" w:hAnsi="Open Sans" w:cs="Open Sans"/>
          <w:color w:val="000000" w:themeColor="text1"/>
          <w:szCs w:val="24"/>
        </w:rPr>
        <w:fldChar w:fldCharType="end"/>
      </w:r>
    </w:p>
    <w:p w14:paraId="39BEEFC5" w14:textId="77777777" w:rsidR="000F099B" w:rsidRDefault="000F099B" w:rsidP="000F099B">
      <w:pPr>
        <w:pStyle w:val="Sinespaciado"/>
      </w:pPr>
    </w:p>
    <w:p w14:paraId="6D0118ED" w14:textId="77777777" w:rsidR="000F099B" w:rsidRPr="006854D9" w:rsidRDefault="000F099B" w:rsidP="000F099B">
      <w:pPr>
        <w:pStyle w:val="Sinespaciado"/>
        <w:rPr>
          <w:rFonts w:ascii="Open Sans" w:hAnsi="Open Sans" w:cs="Open Sans"/>
          <w:color w:val="000000" w:themeColor="text1"/>
          <w:szCs w:val="24"/>
        </w:rPr>
      </w:pPr>
      <w:r w:rsidRPr="006854D9">
        <w:rPr>
          <w:rFonts w:ascii="Open Sans" w:hAnsi="Open Sans" w:cs="Open Sans"/>
          <w:color w:val="000000" w:themeColor="text1"/>
          <w:szCs w:val="24"/>
        </w:rPr>
        <w:t xml:space="preserve">En cada uno de los anexos que se presentan a continuación se contemplan planes de acción para mitigar las brechas identificadas tanto en las cláusulas </w:t>
      </w:r>
      <w:proofErr w:type="spellStart"/>
      <w:r w:rsidRPr="006854D9">
        <w:rPr>
          <w:rFonts w:ascii="Open Sans" w:hAnsi="Open Sans" w:cs="Open Sans"/>
          <w:color w:val="000000" w:themeColor="text1"/>
          <w:szCs w:val="24"/>
        </w:rPr>
        <w:t>mandatorias</w:t>
      </w:r>
      <w:proofErr w:type="spellEnd"/>
      <w:r w:rsidRPr="006854D9">
        <w:rPr>
          <w:rFonts w:ascii="Open Sans" w:hAnsi="Open Sans" w:cs="Open Sans"/>
          <w:color w:val="000000" w:themeColor="text1"/>
          <w:szCs w:val="24"/>
        </w:rPr>
        <w:t xml:space="preserve"> como en los objetivos de control del Anexo A del </w:t>
      </w:r>
      <w:r>
        <w:rPr>
          <w:rFonts w:ascii="Open Sans" w:hAnsi="Open Sans" w:cs="Open Sans"/>
          <w:color w:val="000000" w:themeColor="text1"/>
          <w:szCs w:val="24"/>
        </w:rPr>
        <w:t>estándar</w:t>
      </w:r>
      <w:r w:rsidRPr="00C37EF4">
        <w:rPr>
          <w:rFonts w:ascii="Open Sans" w:hAnsi="Open Sans" w:cs="Open Sans"/>
          <w:color w:val="000000" w:themeColor="text1"/>
          <w:szCs w:val="24"/>
        </w:rPr>
        <w:t xml:space="preserve"> ISO/IEC 27001:2013</w:t>
      </w:r>
      <w:r>
        <w:rPr>
          <w:rFonts w:ascii="Open Sans" w:hAnsi="Open Sans" w:cs="Open Sans"/>
          <w:color w:val="000000" w:themeColor="text1"/>
          <w:szCs w:val="24"/>
        </w:rPr>
        <w:t>.</w:t>
      </w:r>
    </w:p>
    <w:p w14:paraId="5E263D6C" w14:textId="77777777" w:rsidR="000F099B" w:rsidRDefault="000F099B" w:rsidP="000F099B">
      <w:pPr>
        <w:pStyle w:val="Sinespaciado"/>
      </w:pPr>
    </w:p>
    <w:p w14:paraId="7C0F45DA" w14:textId="77777777" w:rsidR="000F099B" w:rsidRDefault="000F099B" w:rsidP="000F099B">
      <w:pPr>
        <w:spacing w:after="160" w:line="252" w:lineRule="auto"/>
      </w:pPr>
      <w:r>
        <w:br w:type="page"/>
      </w:r>
    </w:p>
    <w:p w14:paraId="70F7B26E" w14:textId="77777777" w:rsidR="000F099B" w:rsidRPr="00D656D5" w:rsidRDefault="000F099B" w:rsidP="000F099B">
      <w:pPr>
        <w:pStyle w:val="Sinespaciado"/>
      </w:pPr>
    </w:p>
    <w:p w14:paraId="69851813" w14:textId="77777777" w:rsidR="000F099B" w:rsidRDefault="000F099B" w:rsidP="00187127">
      <w:pPr>
        <w:pStyle w:val="Ttulo1"/>
        <w:keepNext/>
        <w:keepLines/>
        <w:widowControl/>
        <w:numPr>
          <w:ilvl w:val="0"/>
          <w:numId w:val="7"/>
        </w:numPr>
        <w:autoSpaceDE/>
        <w:autoSpaceDN/>
        <w:spacing w:before="320" w:after="40"/>
        <w:ind w:left="426"/>
        <w:jc w:val="both"/>
        <w:rPr>
          <w:rFonts w:ascii="Open Sans" w:hAnsi="Open Sans" w:cs="Open Sans"/>
          <w:lang w:val="es-CO"/>
        </w:rPr>
      </w:pPr>
      <w:bookmarkStart w:id="69" w:name="_Toc518771200"/>
      <w:bookmarkStart w:id="70" w:name="_Toc518815700"/>
      <w:bookmarkStart w:id="71" w:name="_Toc528775207"/>
      <w:r w:rsidRPr="006812C9">
        <w:rPr>
          <w:rFonts w:ascii="Open Sans" w:hAnsi="Open Sans" w:cs="Open Sans"/>
          <w:lang w:val="es-CO"/>
        </w:rPr>
        <w:t>BIBLIOGRAFÍA</w:t>
      </w:r>
      <w:bookmarkEnd w:id="69"/>
      <w:bookmarkEnd w:id="70"/>
      <w:bookmarkEnd w:id="71"/>
    </w:p>
    <w:p w14:paraId="31F98352" w14:textId="77777777" w:rsidR="000F099B" w:rsidRPr="006812C9" w:rsidRDefault="000F099B" w:rsidP="000F099B">
      <w:pPr>
        <w:rPr>
          <w:lang w:val="es-CO"/>
        </w:rPr>
      </w:pPr>
    </w:p>
    <w:p w14:paraId="4C2FA247" w14:textId="77777777" w:rsidR="000F099B" w:rsidRDefault="000F099B" w:rsidP="00187127">
      <w:pPr>
        <w:pStyle w:val="Prrafodelista"/>
        <w:widowControl/>
        <w:numPr>
          <w:ilvl w:val="0"/>
          <w:numId w:val="5"/>
        </w:numPr>
        <w:autoSpaceDE/>
        <w:autoSpaceDN/>
        <w:ind w:left="426"/>
        <w:contextualSpacing/>
        <w:jc w:val="both"/>
        <w:rPr>
          <w:rFonts w:ascii="Open Sans" w:hAnsi="Open Sans" w:cs="Open Sans"/>
          <w:color w:val="000000" w:themeColor="text1"/>
          <w:szCs w:val="24"/>
        </w:rPr>
      </w:pPr>
      <w:r w:rsidRPr="00C37EF4">
        <w:rPr>
          <w:rFonts w:ascii="Open Sans" w:hAnsi="Open Sans" w:cs="Open Sans"/>
          <w:color w:val="000000" w:themeColor="text1"/>
          <w:szCs w:val="24"/>
        </w:rPr>
        <w:t>NORMA TÉCNICA COLOMBIANA NTC-ISO/IEC 27001:2013. Tecnología de la Información. Técnicas de seguridad. Sistemas de Gestión de la Seguridad de la Información. Requisitos. ICONTEC.</w:t>
      </w:r>
    </w:p>
    <w:p w14:paraId="5A714E31" w14:textId="77777777" w:rsidR="000F099B" w:rsidRDefault="000F099B" w:rsidP="00187127">
      <w:pPr>
        <w:pStyle w:val="Prrafodelista"/>
        <w:widowControl/>
        <w:numPr>
          <w:ilvl w:val="0"/>
          <w:numId w:val="5"/>
        </w:numPr>
        <w:autoSpaceDE/>
        <w:autoSpaceDN/>
        <w:ind w:left="426"/>
        <w:contextualSpacing/>
        <w:jc w:val="both"/>
        <w:rPr>
          <w:rFonts w:ascii="Open Sans" w:hAnsi="Open Sans" w:cs="Open Sans"/>
          <w:color w:val="000000" w:themeColor="text1"/>
          <w:szCs w:val="24"/>
        </w:rPr>
      </w:pPr>
      <w:r w:rsidRPr="00C37EF4">
        <w:rPr>
          <w:rFonts w:ascii="Open Sans" w:hAnsi="Open Sans" w:cs="Open Sans"/>
          <w:color w:val="000000" w:themeColor="text1"/>
          <w:szCs w:val="24"/>
        </w:rPr>
        <w:t>NORMA TÉCN</w:t>
      </w:r>
      <w:r>
        <w:rPr>
          <w:rFonts w:ascii="Open Sans" w:hAnsi="Open Sans" w:cs="Open Sans"/>
          <w:color w:val="000000" w:themeColor="text1"/>
          <w:szCs w:val="24"/>
        </w:rPr>
        <w:t>ICA COLOMBIANA NTC-ISO/IEC 27002</w:t>
      </w:r>
      <w:r w:rsidRPr="00C37EF4">
        <w:rPr>
          <w:rFonts w:ascii="Open Sans" w:hAnsi="Open Sans" w:cs="Open Sans"/>
          <w:color w:val="000000" w:themeColor="text1"/>
          <w:szCs w:val="24"/>
        </w:rPr>
        <w:t>:201</w:t>
      </w:r>
      <w:r>
        <w:rPr>
          <w:rFonts w:ascii="Open Sans" w:hAnsi="Open Sans" w:cs="Open Sans"/>
          <w:color w:val="000000" w:themeColor="text1"/>
          <w:szCs w:val="24"/>
        </w:rPr>
        <w:t>3</w:t>
      </w:r>
      <w:r w:rsidRPr="00C37EF4">
        <w:rPr>
          <w:rFonts w:ascii="Open Sans" w:hAnsi="Open Sans" w:cs="Open Sans"/>
          <w:color w:val="000000" w:themeColor="text1"/>
          <w:szCs w:val="24"/>
        </w:rPr>
        <w:t xml:space="preserve">. </w:t>
      </w:r>
      <w:r>
        <w:rPr>
          <w:rFonts w:ascii="Open Sans" w:hAnsi="Open Sans" w:cs="Open Sans"/>
          <w:color w:val="000000" w:themeColor="text1"/>
          <w:szCs w:val="24"/>
        </w:rPr>
        <w:t>Técnicas de Seguridad. Código de Practica para controles de Seguridad de la Información</w:t>
      </w:r>
      <w:r w:rsidRPr="00C37EF4">
        <w:rPr>
          <w:rFonts w:ascii="Open Sans" w:hAnsi="Open Sans" w:cs="Open Sans"/>
          <w:color w:val="000000" w:themeColor="text1"/>
          <w:szCs w:val="24"/>
        </w:rPr>
        <w:t>. ICONTEC.</w:t>
      </w:r>
    </w:p>
    <w:p w14:paraId="47D183D1" w14:textId="77777777" w:rsidR="000F099B" w:rsidRDefault="000F099B" w:rsidP="00187127">
      <w:pPr>
        <w:pStyle w:val="Prrafodelista"/>
        <w:widowControl/>
        <w:numPr>
          <w:ilvl w:val="0"/>
          <w:numId w:val="5"/>
        </w:numPr>
        <w:autoSpaceDE/>
        <w:autoSpaceDN/>
        <w:ind w:left="426"/>
        <w:contextualSpacing/>
        <w:jc w:val="both"/>
        <w:rPr>
          <w:rFonts w:ascii="Open Sans" w:hAnsi="Open Sans" w:cs="Open Sans"/>
          <w:color w:val="000000" w:themeColor="text1"/>
          <w:szCs w:val="24"/>
        </w:rPr>
      </w:pPr>
      <w:r>
        <w:rPr>
          <w:rFonts w:ascii="Open Sans" w:hAnsi="Open Sans" w:cs="Open Sans"/>
          <w:color w:val="000000" w:themeColor="text1"/>
          <w:szCs w:val="24"/>
        </w:rPr>
        <w:t>Modelo de Privacidad y Seguridad de la Información del Ministerio de Tecnologías de Información. MINTIC.</w:t>
      </w:r>
    </w:p>
    <w:p w14:paraId="4BBAD6D8" w14:textId="77777777" w:rsidR="000F099B" w:rsidRPr="000F099B" w:rsidRDefault="000F099B" w:rsidP="00187127">
      <w:pPr>
        <w:pStyle w:val="Prrafodelista"/>
        <w:widowControl/>
        <w:numPr>
          <w:ilvl w:val="0"/>
          <w:numId w:val="5"/>
        </w:numPr>
        <w:autoSpaceDE/>
        <w:autoSpaceDN/>
        <w:ind w:left="426"/>
        <w:contextualSpacing/>
        <w:jc w:val="both"/>
        <w:rPr>
          <w:rFonts w:ascii="Open Sans" w:hAnsi="Open Sans" w:cs="Open Sans"/>
          <w:color w:val="000000" w:themeColor="text1"/>
          <w:szCs w:val="24"/>
          <w:lang w:val="en-US"/>
        </w:rPr>
      </w:pPr>
      <w:r w:rsidRPr="00777580">
        <w:rPr>
          <w:rFonts w:ascii="Open Sans" w:hAnsi="Open Sans" w:cs="Open Sans"/>
          <w:color w:val="000000" w:themeColor="text1"/>
          <w:szCs w:val="24"/>
          <w:lang w:val="en-US"/>
        </w:rPr>
        <w:t>ISO 22301: 2012: Business Continuity Management Systems – Requirements</w:t>
      </w:r>
      <w:r w:rsidRPr="00777580">
        <w:rPr>
          <w:rFonts w:cstheme="minorHAnsi"/>
          <w:lang w:val="en-US"/>
        </w:rPr>
        <w:t>.</w:t>
      </w:r>
    </w:p>
    <w:p w14:paraId="59D10837" w14:textId="77777777" w:rsidR="000F099B" w:rsidRDefault="000F099B" w:rsidP="000F099B">
      <w:pPr>
        <w:widowControl/>
        <w:autoSpaceDE/>
        <w:autoSpaceDN/>
        <w:contextualSpacing/>
        <w:jc w:val="both"/>
        <w:rPr>
          <w:rFonts w:ascii="Open Sans" w:hAnsi="Open Sans" w:cs="Open Sans"/>
          <w:color w:val="000000" w:themeColor="text1"/>
          <w:szCs w:val="24"/>
          <w:lang w:val="en-US"/>
        </w:rPr>
      </w:pPr>
    </w:p>
    <w:p w14:paraId="43350776" w14:textId="77777777" w:rsidR="000F099B" w:rsidRDefault="000F099B" w:rsidP="000F099B">
      <w:pPr>
        <w:widowControl/>
        <w:autoSpaceDE/>
        <w:autoSpaceDN/>
        <w:contextualSpacing/>
        <w:jc w:val="both"/>
        <w:rPr>
          <w:rFonts w:ascii="Open Sans" w:hAnsi="Open Sans" w:cs="Open Sans"/>
          <w:color w:val="000000" w:themeColor="text1"/>
          <w:szCs w:val="24"/>
          <w:lang w:val="en-US"/>
        </w:rPr>
      </w:pPr>
    </w:p>
    <w:p w14:paraId="646C1FC5" w14:textId="77777777" w:rsidR="000F099B" w:rsidRDefault="000F099B" w:rsidP="000F099B">
      <w:pPr>
        <w:widowControl/>
        <w:autoSpaceDE/>
        <w:autoSpaceDN/>
        <w:contextualSpacing/>
        <w:jc w:val="both"/>
        <w:rPr>
          <w:rFonts w:ascii="Open Sans" w:hAnsi="Open Sans" w:cs="Open Sans"/>
          <w:color w:val="000000" w:themeColor="text1"/>
          <w:szCs w:val="24"/>
          <w:lang w:val="en-US"/>
        </w:rPr>
      </w:pPr>
    </w:p>
    <w:p w14:paraId="230BA39B" w14:textId="77777777" w:rsidR="000F099B" w:rsidRDefault="000F099B" w:rsidP="000F099B">
      <w:pPr>
        <w:widowControl/>
        <w:autoSpaceDE/>
        <w:autoSpaceDN/>
        <w:contextualSpacing/>
        <w:jc w:val="both"/>
        <w:rPr>
          <w:rFonts w:ascii="Open Sans" w:hAnsi="Open Sans" w:cs="Open Sans"/>
          <w:color w:val="000000" w:themeColor="text1"/>
          <w:szCs w:val="24"/>
          <w:lang w:val="en-US"/>
        </w:rPr>
      </w:pPr>
    </w:p>
    <w:p w14:paraId="10903F63" w14:textId="77777777" w:rsidR="000F099B" w:rsidRDefault="000F099B" w:rsidP="000F099B">
      <w:pPr>
        <w:widowControl/>
        <w:autoSpaceDE/>
        <w:autoSpaceDN/>
        <w:contextualSpacing/>
        <w:jc w:val="both"/>
        <w:rPr>
          <w:rFonts w:ascii="Open Sans" w:hAnsi="Open Sans" w:cs="Open Sans"/>
          <w:color w:val="000000" w:themeColor="text1"/>
          <w:szCs w:val="24"/>
          <w:lang w:val="en-US"/>
        </w:rPr>
      </w:pPr>
    </w:p>
    <w:p w14:paraId="08DC76C9" w14:textId="77777777" w:rsidR="000F099B" w:rsidRDefault="000F099B" w:rsidP="000F099B">
      <w:pPr>
        <w:widowControl/>
        <w:autoSpaceDE/>
        <w:autoSpaceDN/>
        <w:contextualSpacing/>
        <w:jc w:val="both"/>
        <w:rPr>
          <w:rFonts w:ascii="Open Sans" w:hAnsi="Open Sans" w:cs="Open Sans"/>
          <w:color w:val="000000" w:themeColor="text1"/>
          <w:szCs w:val="24"/>
          <w:lang w:val="en-US"/>
        </w:rPr>
      </w:pPr>
    </w:p>
    <w:p w14:paraId="0CC5AAE1" w14:textId="77777777" w:rsidR="000F099B" w:rsidRDefault="000F099B" w:rsidP="000F099B">
      <w:pPr>
        <w:widowControl/>
        <w:autoSpaceDE/>
        <w:autoSpaceDN/>
        <w:contextualSpacing/>
        <w:jc w:val="both"/>
        <w:rPr>
          <w:rFonts w:ascii="Open Sans" w:hAnsi="Open Sans" w:cs="Open Sans"/>
          <w:color w:val="000000" w:themeColor="text1"/>
          <w:szCs w:val="24"/>
          <w:lang w:val="en-US"/>
        </w:rPr>
      </w:pPr>
    </w:p>
    <w:p w14:paraId="16393383" w14:textId="77777777" w:rsidR="000F099B" w:rsidRDefault="000F099B" w:rsidP="000F099B">
      <w:pPr>
        <w:widowControl/>
        <w:autoSpaceDE/>
        <w:autoSpaceDN/>
        <w:contextualSpacing/>
        <w:jc w:val="both"/>
        <w:rPr>
          <w:rFonts w:ascii="Open Sans" w:hAnsi="Open Sans" w:cs="Open Sans"/>
          <w:color w:val="000000" w:themeColor="text1"/>
          <w:szCs w:val="24"/>
          <w:lang w:val="en-US"/>
        </w:rPr>
      </w:pPr>
    </w:p>
    <w:p w14:paraId="2B79DDCA" w14:textId="77777777" w:rsidR="000F099B" w:rsidRDefault="000F099B" w:rsidP="000F099B">
      <w:pPr>
        <w:widowControl/>
        <w:autoSpaceDE/>
        <w:autoSpaceDN/>
        <w:contextualSpacing/>
        <w:jc w:val="both"/>
        <w:rPr>
          <w:rFonts w:ascii="Open Sans" w:hAnsi="Open Sans" w:cs="Open Sans"/>
          <w:color w:val="000000" w:themeColor="text1"/>
          <w:szCs w:val="24"/>
          <w:lang w:val="en-US"/>
        </w:rPr>
      </w:pPr>
    </w:p>
    <w:p w14:paraId="7D3E66DF" w14:textId="77777777" w:rsidR="000F099B" w:rsidRDefault="000F099B" w:rsidP="000F099B">
      <w:pPr>
        <w:widowControl/>
        <w:autoSpaceDE/>
        <w:autoSpaceDN/>
        <w:contextualSpacing/>
        <w:jc w:val="both"/>
        <w:rPr>
          <w:rFonts w:ascii="Open Sans" w:hAnsi="Open Sans" w:cs="Open Sans"/>
          <w:color w:val="000000" w:themeColor="text1"/>
          <w:szCs w:val="24"/>
          <w:lang w:val="en-US"/>
        </w:rPr>
      </w:pPr>
    </w:p>
    <w:p w14:paraId="5DFD66B5" w14:textId="77777777" w:rsidR="000F099B" w:rsidRPr="000F099B" w:rsidRDefault="000F099B" w:rsidP="000F099B">
      <w:pPr>
        <w:widowControl/>
        <w:autoSpaceDE/>
        <w:autoSpaceDN/>
        <w:contextualSpacing/>
        <w:jc w:val="both"/>
        <w:rPr>
          <w:rFonts w:ascii="Open Sans" w:hAnsi="Open Sans" w:cs="Open Sans"/>
          <w:color w:val="000000" w:themeColor="text1"/>
          <w:szCs w:val="24"/>
          <w:lang w:val="en-US"/>
        </w:rPr>
      </w:pPr>
    </w:p>
    <w:p w14:paraId="5D5A0498" w14:textId="77777777" w:rsidR="000F099B" w:rsidRPr="00777580" w:rsidRDefault="000F099B" w:rsidP="000F099B">
      <w:pPr>
        <w:rPr>
          <w:rFonts w:ascii="Open Sans" w:hAnsi="Open Sans" w:cs="Open Sans"/>
          <w:color w:val="000000" w:themeColor="text1"/>
          <w:lang w:val="en-US"/>
        </w:rPr>
      </w:pPr>
    </w:p>
    <w:p w14:paraId="616F2910" w14:textId="77777777" w:rsidR="000F099B" w:rsidRPr="00777580" w:rsidRDefault="000F099B" w:rsidP="000F099B">
      <w:pPr>
        <w:pStyle w:val="Sinespaciado"/>
        <w:rPr>
          <w:lang w:val="en-US"/>
        </w:rPr>
      </w:pPr>
    </w:p>
    <w:p w14:paraId="00872F98" w14:textId="77777777" w:rsidR="000F099B" w:rsidRPr="00777580" w:rsidRDefault="000F099B" w:rsidP="000F099B">
      <w:pPr>
        <w:pStyle w:val="Sinespaciado"/>
        <w:rPr>
          <w:lang w:val="en-US"/>
        </w:rPr>
      </w:pPr>
    </w:p>
    <w:p w14:paraId="5D399975" w14:textId="77777777" w:rsidR="000F099B" w:rsidRPr="00777580" w:rsidRDefault="000F099B" w:rsidP="000F099B">
      <w:pPr>
        <w:pStyle w:val="Sinespaciado"/>
        <w:rPr>
          <w:lang w:val="en-US"/>
        </w:rPr>
      </w:pPr>
    </w:p>
    <w:p w14:paraId="05C10309" w14:textId="77777777" w:rsidR="000F099B" w:rsidRPr="00777580" w:rsidRDefault="000F099B" w:rsidP="000F099B">
      <w:pPr>
        <w:pStyle w:val="Sinespaciado"/>
        <w:rPr>
          <w:lang w:val="en-US"/>
        </w:rPr>
      </w:pPr>
    </w:p>
    <w:p w14:paraId="589E33EE" w14:textId="77777777" w:rsidR="000F099B" w:rsidRPr="00777580" w:rsidRDefault="000F099B" w:rsidP="000F099B">
      <w:pPr>
        <w:pStyle w:val="Sinespaciado"/>
        <w:rPr>
          <w:lang w:val="en-US"/>
        </w:rPr>
      </w:pPr>
    </w:p>
    <w:p w14:paraId="483B0C20" w14:textId="77777777" w:rsidR="000F099B" w:rsidRPr="00777580" w:rsidRDefault="000F099B" w:rsidP="000F099B">
      <w:pPr>
        <w:pStyle w:val="Sinespaciado"/>
        <w:rPr>
          <w:lang w:val="en-US"/>
        </w:rPr>
      </w:pPr>
    </w:p>
    <w:p w14:paraId="1C4CF939" w14:textId="77777777" w:rsidR="000F099B" w:rsidRPr="00777580" w:rsidRDefault="000F099B" w:rsidP="000F099B">
      <w:pPr>
        <w:pStyle w:val="Sinespaciado"/>
        <w:rPr>
          <w:lang w:val="en-US"/>
        </w:rPr>
      </w:pPr>
    </w:p>
    <w:p w14:paraId="5001D221" w14:textId="77777777" w:rsidR="000F099B" w:rsidRPr="00777580" w:rsidRDefault="000F099B" w:rsidP="000F099B">
      <w:pPr>
        <w:pStyle w:val="Sinespaciado"/>
        <w:rPr>
          <w:lang w:val="en-US"/>
        </w:rPr>
      </w:pPr>
    </w:p>
    <w:p w14:paraId="70E70E55" w14:textId="77777777" w:rsidR="000F099B" w:rsidRPr="00777580" w:rsidRDefault="000F099B" w:rsidP="000F099B">
      <w:pPr>
        <w:pStyle w:val="Sinespaciado"/>
        <w:rPr>
          <w:lang w:val="en-US"/>
        </w:rPr>
      </w:pPr>
    </w:p>
    <w:p w14:paraId="6B1DC49E" w14:textId="77777777" w:rsidR="000F099B" w:rsidRPr="00777580" w:rsidRDefault="000F099B" w:rsidP="000F099B">
      <w:pPr>
        <w:pStyle w:val="Sinespaciado"/>
        <w:rPr>
          <w:lang w:val="en-US"/>
        </w:rPr>
      </w:pPr>
    </w:p>
    <w:p w14:paraId="700CD768" w14:textId="77777777" w:rsidR="000F099B" w:rsidRPr="00777580" w:rsidRDefault="000F099B" w:rsidP="000F099B">
      <w:pPr>
        <w:pStyle w:val="Sinespaciado"/>
        <w:rPr>
          <w:lang w:val="en-US"/>
        </w:rPr>
      </w:pPr>
    </w:p>
    <w:p w14:paraId="37B0B448" w14:textId="77777777" w:rsidR="000F099B" w:rsidRPr="00777580" w:rsidRDefault="000F099B" w:rsidP="000F099B">
      <w:pPr>
        <w:pStyle w:val="Sinespaciado"/>
        <w:rPr>
          <w:lang w:val="en-US"/>
        </w:rPr>
      </w:pPr>
    </w:p>
    <w:p w14:paraId="1100FF9B" w14:textId="77777777" w:rsidR="000F099B" w:rsidRPr="00777580" w:rsidRDefault="000F099B" w:rsidP="000F099B">
      <w:pPr>
        <w:pStyle w:val="Sinespaciado"/>
        <w:rPr>
          <w:lang w:val="en-US"/>
        </w:rPr>
      </w:pPr>
    </w:p>
    <w:p w14:paraId="6E5AA1CA" w14:textId="77777777" w:rsidR="000F099B" w:rsidRPr="00777580" w:rsidRDefault="000F099B" w:rsidP="000F099B">
      <w:pPr>
        <w:pStyle w:val="Sinespaciado"/>
        <w:rPr>
          <w:lang w:val="en-US"/>
        </w:rPr>
      </w:pPr>
    </w:p>
    <w:p w14:paraId="25FDC356" w14:textId="77777777" w:rsidR="000F099B" w:rsidRPr="00777580" w:rsidRDefault="000F099B" w:rsidP="000F099B">
      <w:pPr>
        <w:pStyle w:val="Sinespaciado"/>
        <w:rPr>
          <w:lang w:val="en-US"/>
        </w:rPr>
      </w:pPr>
    </w:p>
    <w:p w14:paraId="133B84F3" w14:textId="77777777" w:rsidR="000F099B" w:rsidRPr="00777580" w:rsidRDefault="000F099B" w:rsidP="000F099B">
      <w:pPr>
        <w:pStyle w:val="Sinespaciado"/>
        <w:rPr>
          <w:lang w:val="en-US"/>
        </w:rPr>
      </w:pPr>
    </w:p>
    <w:p w14:paraId="6D68156C" w14:textId="77777777" w:rsidR="000F099B" w:rsidRPr="00777580" w:rsidRDefault="000F099B" w:rsidP="000F099B">
      <w:pPr>
        <w:pStyle w:val="Sinespaciado"/>
        <w:rPr>
          <w:lang w:val="en-US"/>
        </w:rPr>
      </w:pPr>
    </w:p>
    <w:p w14:paraId="4D0AC473" w14:textId="77777777" w:rsidR="000F099B" w:rsidRPr="00777580" w:rsidRDefault="000F099B" w:rsidP="000F099B">
      <w:pPr>
        <w:pStyle w:val="Sinespaciado"/>
        <w:rPr>
          <w:lang w:val="en-US"/>
        </w:rPr>
      </w:pPr>
    </w:p>
    <w:p w14:paraId="311F3F21" w14:textId="77777777" w:rsidR="000F099B" w:rsidRPr="00777580" w:rsidRDefault="000F099B" w:rsidP="000F099B">
      <w:pPr>
        <w:pStyle w:val="Sinespaciado"/>
        <w:rPr>
          <w:lang w:val="en-US"/>
        </w:rPr>
      </w:pPr>
    </w:p>
    <w:p w14:paraId="16C5962E" w14:textId="77777777" w:rsidR="000F099B" w:rsidRPr="00777580" w:rsidRDefault="000F099B" w:rsidP="000F099B">
      <w:pPr>
        <w:pStyle w:val="Sinespaciado"/>
        <w:rPr>
          <w:lang w:val="en-US"/>
        </w:rPr>
      </w:pPr>
    </w:p>
    <w:p w14:paraId="351F173D" w14:textId="77777777" w:rsidR="000F099B" w:rsidRPr="00777580" w:rsidRDefault="000F099B" w:rsidP="000F099B">
      <w:pPr>
        <w:pStyle w:val="Sinespaciado"/>
        <w:rPr>
          <w:lang w:val="en-US"/>
        </w:rPr>
      </w:pPr>
    </w:p>
    <w:p w14:paraId="04CB3F4D" w14:textId="77777777" w:rsidR="000F099B" w:rsidRPr="00777580" w:rsidRDefault="000F099B" w:rsidP="000F099B">
      <w:pPr>
        <w:pStyle w:val="Sinespaciado"/>
        <w:rPr>
          <w:lang w:val="en-US"/>
        </w:rPr>
      </w:pPr>
    </w:p>
    <w:p w14:paraId="04483309" w14:textId="77777777" w:rsidR="000F099B" w:rsidRPr="00777580" w:rsidRDefault="000F099B" w:rsidP="000F099B">
      <w:pPr>
        <w:pStyle w:val="Sinespaciado"/>
        <w:rPr>
          <w:lang w:val="en-US"/>
        </w:rPr>
      </w:pPr>
    </w:p>
    <w:p w14:paraId="60DA8D60" w14:textId="77777777" w:rsidR="000F099B" w:rsidRPr="00777580" w:rsidRDefault="000F099B" w:rsidP="000F099B">
      <w:pPr>
        <w:pStyle w:val="Sinespaciado"/>
        <w:rPr>
          <w:lang w:val="en-US"/>
        </w:rPr>
      </w:pPr>
    </w:p>
    <w:p w14:paraId="3B6E830D" w14:textId="77777777" w:rsidR="000F099B" w:rsidRPr="00777580" w:rsidRDefault="000F099B" w:rsidP="000F099B">
      <w:pPr>
        <w:pStyle w:val="Sinespaciado"/>
        <w:rPr>
          <w:lang w:val="en-US"/>
        </w:rPr>
      </w:pPr>
    </w:p>
    <w:p w14:paraId="19A66823" w14:textId="77777777" w:rsidR="000F099B" w:rsidRPr="00777580" w:rsidRDefault="000F099B" w:rsidP="000F099B">
      <w:pPr>
        <w:pStyle w:val="Sinespaciado"/>
        <w:rPr>
          <w:lang w:val="en-US"/>
        </w:rPr>
      </w:pPr>
    </w:p>
    <w:p w14:paraId="1FF5B519" w14:textId="77777777" w:rsidR="000F099B" w:rsidRPr="00777580" w:rsidRDefault="000F099B" w:rsidP="000F099B">
      <w:pPr>
        <w:pStyle w:val="Sinespaciado"/>
        <w:rPr>
          <w:lang w:val="en-US"/>
        </w:rPr>
      </w:pPr>
    </w:p>
    <w:p w14:paraId="30314445" w14:textId="77777777" w:rsidR="000F099B" w:rsidRPr="00777580" w:rsidRDefault="000F099B" w:rsidP="000F099B">
      <w:pPr>
        <w:pStyle w:val="Sinespaciado"/>
        <w:rPr>
          <w:lang w:val="en-US"/>
        </w:rPr>
      </w:pPr>
    </w:p>
    <w:p w14:paraId="6D14C9C7" w14:textId="77777777" w:rsidR="000F099B" w:rsidRPr="00777580" w:rsidRDefault="000F099B" w:rsidP="000F099B">
      <w:pPr>
        <w:pStyle w:val="Sinespaciado"/>
        <w:rPr>
          <w:lang w:val="en-US"/>
        </w:rPr>
      </w:pPr>
    </w:p>
    <w:p w14:paraId="518DD8C5" w14:textId="77777777" w:rsidR="000F099B" w:rsidRPr="00777580" w:rsidRDefault="000F099B" w:rsidP="000F099B">
      <w:pPr>
        <w:spacing w:after="160" w:line="252" w:lineRule="auto"/>
        <w:rPr>
          <w:lang w:val="en-US"/>
        </w:rPr>
      </w:pPr>
      <w:r w:rsidRPr="00777580">
        <w:rPr>
          <w:lang w:val="en-US"/>
        </w:rPr>
        <w:br w:type="page"/>
      </w:r>
    </w:p>
    <w:p w14:paraId="49C1D29C" w14:textId="77777777" w:rsidR="000F099B" w:rsidRPr="00777580" w:rsidRDefault="000F099B" w:rsidP="000F099B">
      <w:pPr>
        <w:pStyle w:val="Ttulo2"/>
        <w:rPr>
          <w:rFonts w:ascii="Open Sans" w:hAnsi="Open Sans" w:cs="Open Sans"/>
          <w:sz w:val="22"/>
          <w:lang w:val="en-US"/>
        </w:rPr>
        <w:sectPr w:rsidR="000F099B" w:rsidRPr="00777580" w:rsidSect="000F099B">
          <w:headerReference w:type="default" r:id="rId21"/>
          <w:footerReference w:type="default" r:id="rId22"/>
          <w:headerReference w:type="first" r:id="rId23"/>
          <w:footerReference w:type="first" r:id="rId24"/>
          <w:pgSz w:w="11906" w:h="16838"/>
          <w:pgMar w:top="1701" w:right="1134" w:bottom="1134" w:left="1134" w:header="709" w:footer="709" w:gutter="0"/>
          <w:cols w:space="708"/>
          <w:titlePg/>
          <w:docGrid w:linePitch="360"/>
        </w:sectPr>
      </w:pPr>
      <w:bookmarkStart w:id="72" w:name="_Toc494138772"/>
    </w:p>
    <w:p w14:paraId="2BB98ABB" w14:textId="77777777" w:rsidR="000F099B" w:rsidRDefault="000F099B" w:rsidP="00187127">
      <w:pPr>
        <w:pStyle w:val="Ttulo1"/>
        <w:keepNext/>
        <w:keepLines/>
        <w:widowControl/>
        <w:numPr>
          <w:ilvl w:val="0"/>
          <w:numId w:val="7"/>
        </w:numPr>
        <w:autoSpaceDE/>
        <w:autoSpaceDN/>
        <w:ind w:left="426"/>
        <w:jc w:val="both"/>
        <w:rPr>
          <w:rFonts w:ascii="Open Sans" w:hAnsi="Open Sans" w:cs="Open Sans"/>
          <w:lang w:val="es-CO"/>
        </w:rPr>
      </w:pPr>
      <w:bookmarkStart w:id="73" w:name="_Toc528775208"/>
      <w:r>
        <w:rPr>
          <w:rFonts w:ascii="Open Sans" w:hAnsi="Open Sans" w:cs="Open Sans"/>
          <w:lang w:val="es-CO"/>
        </w:rPr>
        <w:lastRenderedPageBreak/>
        <w:t>ANEXOS</w:t>
      </w:r>
      <w:bookmarkEnd w:id="73"/>
    </w:p>
    <w:p w14:paraId="080BFC88" w14:textId="77777777" w:rsidR="000F099B" w:rsidRPr="006854D9" w:rsidRDefault="000F099B" w:rsidP="000F099B">
      <w:pPr>
        <w:rPr>
          <w:lang w:val="es-CO"/>
        </w:rPr>
      </w:pPr>
    </w:p>
    <w:p w14:paraId="4EE3A3A7" w14:textId="77777777" w:rsidR="000F099B" w:rsidRDefault="000F099B" w:rsidP="000F099B">
      <w:pPr>
        <w:pStyle w:val="Ttulo2"/>
        <w:spacing w:before="0"/>
        <w:ind w:left="-142"/>
        <w:rPr>
          <w:rFonts w:ascii="Open Sans" w:hAnsi="Open Sans" w:cs="Open Sans"/>
          <w:sz w:val="22"/>
        </w:rPr>
      </w:pPr>
      <w:bookmarkStart w:id="74" w:name="_Toc494138771"/>
      <w:bookmarkStart w:id="75" w:name="_Toc528775209"/>
      <w:r w:rsidRPr="0026394A">
        <w:rPr>
          <w:rFonts w:ascii="Open Sans" w:hAnsi="Open Sans" w:cs="Open Sans"/>
          <w:sz w:val="22"/>
        </w:rPr>
        <w:t xml:space="preserve">ANEXO 1. DETALLE ANÁLISIS </w:t>
      </w:r>
      <w:r>
        <w:rPr>
          <w:rFonts w:ascii="Open Sans" w:hAnsi="Open Sans" w:cs="Open Sans"/>
          <w:sz w:val="22"/>
        </w:rPr>
        <w:t>GAP</w:t>
      </w:r>
      <w:r w:rsidRPr="0026394A">
        <w:rPr>
          <w:rFonts w:ascii="Open Sans" w:hAnsi="Open Sans" w:cs="Open Sans"/>
          <w:sz w:val="22"/>
        </w:rPr>
        <w:t xml:space="preserve"> </w:t>
      </w:r>
      <w:r>
        <w:rPr>
          <w:rFonts w:ascii="Open Sans" w:hAnsi="Open Sans" w:cs="Open Sans"/>
          <w:sz w:val="22"/>
        </w:rPr>
        <w:t xml:space="preserve">CLAUSULAS MANDATORIAS </w:t>
      </w:r>
      <w:r w:rsidRPr="0026394A">
        <w:rPr>
          <w:rFonts w:ascii="Open Sans" w:hAnsi="Open Sans" w:cs="Open Sans"/>
          <w:sz w:val="22"/>
        </w:rPr>
        <w:t>ISO/IEC 27001:2013</w:t>
      </w:r>
      <w:bookmarkEnd w:id="74"/>
      <w:bookmarkEnd w:id="75"/>
    </w:p>
    <w:p w14:paraId="0E0A2AFE" w14:textId="77777777" w:rsidR="000F099B" w:rsidRDefault="000F099B" w:rsidP="000F099B">
      <w:pPr>
        <w:pStyle w:val="Ttulo2"/>
        <w:spacing w:before="0"/>
        <w:rPr>
          <w:rFonts w:ascii="Open Sans" w:hAnsi="Open Sans" w:cs="Open Sans"/>
          <w:sz w:val="22"/>
        </w:rPr>
      </w:pPr>
    </w:p>
    <w:tbl>
      <w:tblPr>
        <w:tblW w:w="17292" w:type="dxa"/>
        <w:tblInd w:w="-1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0"/>
        <w:gridCol w:w="1854"/>
        <w:gridCol w:w="2551"/>
        <w:gridCol w:w="1368"/>
        <w:gridCol w:w="3246"/>
        <w:gridCol w:w="1038"/>
        <w:gridCol w:w="850"/>
        <w:gridCol w:w="3782"/>
        <w:gridCol w:w="1763"/>
      </w:tblGrid>
      <w:tr w:rsidR="00274728" w:rsidRPr="00E305B4" w14:paraId="66709AB2" w14:textId="77777777" w:rsidTr="007F5968">
        <w:trPr>
          <w:trHeight w:val="20"/>
          <w:tblHeader/>
        </w:trPr>
        <w:tc>
          <w:tcPr>
            <w:tcW w:w="840" w:type="dxa"/>
            <w:shd w:val="clear" w:color="000000" w:fill="DCE6F1"/>
            <w:vAlign w:val="center"/>
            <w:hideMark/>
          </w:tcPr>
          <w:p w14:paraId="37200646" w14:textId="77777777" w:rsidR="007F5968" w:rsidRPr="00E305B4" w:rsidRDefault="007F5968" w:rsidP="000F099B">
            <w:pPr>
              <w:jc w:val="center"/>
              <w:rPr>
                <w:rFonts w:asciiTheme="majorHAnsi" w:eastAsia="Times New Roman" w:hAnsiTheme="majorHAnsi" w:cstheme="majorHAnsi"/>
                <w:b/>
                <w:bCs/>
                <w:color w:val="000000"/>
                <w:sz w:val="16"/>
                <w:szCs w:val="16"/>
                <w:lang w:val="es-CO" w:eastAsia="es-CO"/>
              </w:rPr>
            </w:pPr>
            <w:r w:rsidRPr="00E305B4">
              <w:rPr>
                <w:rFonts w:asciiTheme="majorHAnsi" w:eastAsia="Times New Roman" w:hAnsiTheme="majorHAnsi" w:cstheme="majorHAnsi"/>
                <w:b/>
                <w:bCs/>
                <w:color w:val="000000"/>
                <w:sz w:val="16"/>
                <w:szCs w:val="16"/>
                <w:lang w:val="es-CO" w:eastAsia="es-CO"/>
              </w:rPr>
              <w:t># ISO</w:t>
            </w:r>
          </w:p>
        </w:tc>
        <w:tc>
          <w:tcPr>
            <w:tcW w:w="1854" w:type="dxa"/>
            <w:shd w:val="clear" w:color="000000" w:fill="DCE6F1"/>
            <w:noWrap/>
            <w:vAlign w:val="center"/>
            <w:hideMark/>
          </w:tcPr>
          <w:p w14:paraId="629D8784" w14:textId="77777777" w:rsidR="007F5968" w:rsidRPr="00E305B4" w:rsidRDefault="007F5968" w:rsidP="000F099B">
            <w:pPr>
              <w:jc w:val="center"/>
              <w:rPr>
                <w:rFonts w:asciiTheme="majorHAnsi" w:eastAsia="Times New Roman" w:hAnsiTheme="majorHAnsi" w:cstheme="majorHAnsi"/>
                <w:b/>
                <w:bCs/>
                <w:color w:val="000000"/>
                <w:sz w:val="16"/>
                <w:szCs w:val="16"/>
                <w:lang w:val="es-CO" w:eastAsia="es-CO"/>
              </w:rPr>
            </w:pPr>
            <w:r w:rsidRPr="00E305B4">
              <w:rPr>
                <w:rFonts w:asciiTheme="majorHAnsi" w:eastAsia="Times New Roman" w:hAnsiTheme="majorHAnsi" w:cstheme="majorHAnsi"/>
                <w:b/>
                <w:bCs/>
                <w:color w:val="000000"/>
                <w:sz w:val="16"/>
                <w:szCs w:val="16"/>
                <w:lang w:val="es-CO" w:eastAsia="es-CO"/>
              </w:rPr>
              <w:t>Requisito</w:t>
            </w:r>
          </w:p>
        </w:tc>
        <w:tc>
          <w:tcPr>
            <w:tcW w:w="2551" w:type="dxa"/>
            <w:shd w:val="clear" w:color="000000" w:fill="DCE6F1"/>
            <w:noWrap/>
            <w:vAlign w:val="center"/>
            <w:hideMark/>
          </w:tcPr>
          <w:p w14:paraId="5064B5DC" w14:textId="77777777" w:rsidR="007F5968" w:rsidRPr="00E305B4" w:rsidRDefault="007F5968" w:rsidP="000F099B">
            <w:pPr>
              <w:jc w:val="center"/>
              <w:rPr>
                <w:rFonts w:asciiTheme="majorHAnsi" w:eastAsia="Times New Roman" w:hAnsiTheme="majorHAnsi" w:cstheme="majorHAnsi"/>
                <w:b/>
                <w:bCs/>
                <w:color w:val="000000"/>
                <w:sz w:val="16"/>
                <w:szCs w:val="16"/>
                <w:lang w:val="es-CO" w:eastAsia="es-CO"/>
              </w:rPr>
            </w:pPr>
            <w:r w:rsidRPr="00E305B4">
              <w:rPr>
                <w:rFonts w:asciiTheme="majorHAnsi" w:eastAsia="Times New Roman" w:hAnsiTheme="majorHAnsi" w:cstheme="majorHAnsi"/>
                <w:b/>
                <w:bCs/>
                <w:color w:val="000000"/>
                <w:sz w:val="16"/>
                <w:szCs w:val="16"/>
                <w:lang w:val="es-CO" w:eastAsia="es-CO"/>
              </w:rPr>
              <w:t>Descripción del requisito</w:t>
            </w:r>
          </w:p>
        </w:tc>
        <w:tc>
          <w:tcPr>
            <w:tcW w:w="1368" w:type="dxa"/>
            <w:shd w:val="clear" w:color="000000" w:fill="DCE6F1"/>
            <w:noWrap/>
            <w:vAlign w:val="center"/>
            <w:hideMark/>
          </w:tcPr>
          <w:p w14:paraId="42A189C5" w14:textId="77777777" w:rsidR="007F5968" w:rsidRPr="00E305B4" w:rsidRDefault="007F5968" w:rsidP="000F099B">
            <w:pPr>
              <w:jc w:val="center"/>
              <w:rPr>
                <w:rFonts w:asciiTheme="majorHAnsi" w:eastAsia="Times New Roman" w:hAnsiTheme="majorHAnsi" w:cstheme="majorHAnsi"/>
                <w:b/>
                <w:bCs/>
                <w:sz w:val="16"/>
                <w:szCs w:val="16"/>
                <w:lang w:val="es-CO" w:eastAsia="es-CO"/>
              </w:rPr>
            </w:pPr>
            <w:r w:rsidRPr="00E305B4">
              <w:rPr>
                <w:rFonts w:asciiTheme="majorHAnsi" w:eastAsia="Times New Roman" w:hAnsiTheme="majorHAnsi" w:cstheme="majorHAnsi"/>
                <w:b/>
                <w:bCs/>
                <w:sz w:val="16"/>
                <w:szCs w:val="16"/>
                <w:lang w:val="es-CO" w:eastAsia="es-CO"/>
              </w:rPr>
              <w:t>¿Implementado?</w:t>
            </w:r>
          </w:p>
        </w:tc>
        <w:tc>
          <w:tcPr>
            <w:tcW w:w="3246" w:type="dxa"/>
            <w:shd w:val="clear" w:color="000000" w:fill="DCE6F1"/>
            <w:noWrap/>
            <w:vAlign w:val="center"/>
            <w:hideMark/>
          </w:tcPr>
          <w:p w14:paraId="4A2F2408" w14:textId="77777777" w:rsidR="007F5968" w:rsidRPr="00E305B4" w:rsidRDefault="007F5968" w:rsidP="000F099B">
            <w:pPr>
              <w:jc w:val="center"/>
              <w:rPr>
                <w:rFonts w:asciiTheme="majorHAnsi" w:eastAsia="Times New Roman" w:hAnsiTheme="majorHAnsi" w:cstheme="majorHAnsi"/>
                <w:b/>
                <w:bCs/>
                <w:color w:val="000000"/>
                <w:sz w:val="16"/>
                <w:szCs w:val="16"/>
                <w:lang w:val="es-CO" w:eastAsia="es-CO"/>
              </w:rPr>
            </w:pPr>
            <w:r w:rsidRPr="00E305B4">
              <w:rPr>
                <w:rFonts w:asciiTheme="majorHAnsi" w:eastAsia="Times New Roman" w:hAnsiTheme="majorHAnsi" w:cstheme="majorHAnsi"/>
                <w:b/>
                <w:bCs/>
                <w:color w:val="000000"/>
                <w:sz w:val="16"/>
                <w:szCs w:val="16"/>
                <w:lang w:val="es-CO" w:eastAsia="es-CO"/>
              </w:rPr>
              <w:t>Situación Actual</w:t>
            </w:r>
          </w:p>
        </w:tc>
        <w:tc>
          <w:tcPr>
            <w:tcW w:w="1038" w:type="dxa"/>
            <w:shd w:val="clear" w:color="000000" w:fill="C5D9F1"/>
            <w:vAlign w:val="center"/>
            <w:hideMark/>
          </w:tcPr>
          <w:p w14:paraId="0D861C1A" w14:textId="77777777" w:rsidR="007F5968" w:rsidRPr="00E305B4" w:rsidRDefault="007F5968" w:rsidP="000F099B">
            <w:pPr>
              <w:jc w:val="center"/>
              <w:rPr>
                <w:rFonts w:asciiTheme="majorHAnsi" w:eastAsia="Times New Roman" w:hAnsiTheme="majorHAnsi" w:cstheme="majorHAnsi"/>
                <w:b/>
                <w:bCs/>
                <w:sz w:val="16"/>
                <w:szCs w:val="16"/>
                <w:lang w:val="es-CO" w:eastAsia="es-CO"/>
              </w:rPr>
            </w:pPr>
            <w:r w:rsidRPr="00E305B4">
              <w:rPr>
                <w:rFonts w:asciiTheme="majorHAnsi" w:eastAsia="Times New Roman" w:hAnsiTheme="majorHAnsi" w:cstheme="majorHAnsi"/>
                <w:b/>
                <w:bCs/>
                <w:sz w:val="16"/>
                <w:szCs w:val="16"/>
                <w:lang w:val="es-CO" w:eastAsia="es-CO"/>
              </w:rPr>
              <w:t>Madurez</w:t>
            </w:r>
          </w:p>
        </w:tc>
        <w:tc>
          <w:tcPr>
            <w:tcW w:w="850" w:type="dxa"/>
            <w:shd w:val="clear" w:color="000000" w:fill="C5D9F1"/>
            <w:vAlign w:val="center"/>
            <w:hideMark/>
          </w:tcPr>
          <w:p w14:paraId="6CF0D913" w14:textId="77777777" w:rsidR="007F5968" w:rsidRPr="00E305B4" w:rsidRDefault="007F5968" w:rsidP="000F099B">
            <w:pPr>
              <w:jc w:val="center"/>
              <w:rPr>
                <w:rFonts w:asciiTheme="majorHAnsi" w:eastAsia="Times New Roman" w:hAnsiTheme="majorHAnsi" w:cstheme="majorHAnsi"/>
                <w:b/>
                <w:bCs/>
                <w:sz w:val="16"/>
                <w:szCs w:val="16"/>
                <w:lang w:val="es-CO" w:eastAsia="es-CO"/>
              </w:rPr>
            </w:pPr>
            <w:r w:rsidRPr="00E305B4">
              <w:rPr>
                <w:rFonts w:asciiTheme="majorHAnsi" w:eastAsia="Times New Roman" w:hAnsiTheme="majorHAnsi" w:cstheme="majorHAnsi"/>
                <w:b/>
                <w:bCs/>
                <w:sz w:val="16"/>
                <w:szCs w:val="16"/>
                <w:lang w:val="es-CO" w:eastAsia="es-CO"/>
              </w:rPr>
              <w:t>% Madurez</w:t>
            </w:r>
          </w:p>
        </w:tc>
        <w:tc>
          <w:tcPr>
            <w:tcW w:w="3782" w:type="dxa"/>
            <w:shd w:val="clear" w:color="000000" w:fill="C5D9F1"/>
            <w:vAlign w:val="center"/>
            <w:hideMark/>
          </w:tcPr>
          <w:p w14:paraId="6EC4A09D" w14:textId="77777777" w:rsidR="007F5968" w:rsidRPr="00E305B4" w:rsidRDefault="007F5968" w:rsidP="000F099B">
            <w:pPr>
              <w:jc w:val="center"/>
              <w:rPr>
                <w:rFonts w:asciiTheme="majorHAnsi" w:eastAsia="Times New Roman" w:hAnsiTheme="majorHAnsi" w:cstheme="majorHAnsi"/>
                <w:b/>
                <w:bCs/>
                <w:sz w:val="16"/>
                <w:szCs w:val="16"/>
                <w:lang w:val="es-CO" w:eastAsia="es-CO"/>
              </w:rPr>
            </w:pPr>
            <w:r w:rsidRPr="00E305B4">
              <w:rPr>
                <w:rFonts w:asciiTheme="majorHAnsi" w:eastAsia="Times New Roman" w:hAnsiTheme="majorHAnsi" w:cstheme="majorHAnsi"/>
                <w:b/>
                <w:bCs/>
                <w:sz w:val="16"/>
                <w:szCs w:val="16"/>
                <w:lang w:val="es-CO" w:eastAsia="es-CO"/>
              </w:rPr>
              <w:t>Plan de Acción</w:t>
            </w:r>
          </w:p>
        </w:tc>
        <w:tc>
          <w:tcPr>
            <w:tcW w:w="1763" w:type="dxa"/>
            <w:shd w:val="clear" w:color="000000" w:fill="C5D9F1"/>
          </w:tcPr>
          <w:p w14:paraId="0852AAD6" w14:textId="77777777" w:rsidR="007F5968" w:rsidRPr="00E305B4" w:rsidRDefault="007F5968" w:rsidP="000F099B">
            <w:pPr>
              <w:jc w:val="center"/>
              <w:rPr>
                <w:rFonts w:asciiTheme="majorHAnsi" w:eastAsia="Times New Roman" w:hAnsiTheme="majorHAnsi" w:cstheme="majorHAnsi"/>
                <w:b/>
                <w:bCs/>
                <w:sz w:val="16"/>
                <w:szCs w:val="16"/>
                <w:lang w:val="es-CO" w:eastAsia="es-CO"/>
              </w:rPr>
            </w:pPr>
            <w:r>
              <w:rPr>
                <w:rFonts w:asciiTheme="majorHAnsi" w:eastAsia="Times New Roman" w:hAnsiTheme="majorHAnsi" w:cstheme="majorHAnsi"/>
                <w:b/>
                <w:bCs/>
                <w:sz w:val="16"/>
                <w:szCs w:val="16"/>
                <w:lang w:val="es-CO" w:eastAsia="es-CO"/>
              </w:rPr>
              <w:t>Soportes</w:t>
            </w:r>
          </w:p>
        </w:tc>
      </w:tr>
      <w:tr w:rsidR="00BC0293" w:rsidRPr="00E305B4" w14:paraId="7BD8E4DF" w14:textId="77777777" w:rsidTr="007F5968">
        <w:trPr>
          <w:trHeight w:val="20"/>
        </w:trPr>
        <w:tc>
          <w:tcPr>
            <w:tcW w:w="840" w:type="dxa"/>
            <w:shd w:val="clear" w:color="000000" w:fill="538DD5"/>
            <w:noWrap/>
            <w:vAlign w:val="center"/>
            <w:hideMark/>
          </w:tcPr>
          <w:p w14:paraId="08EB9F65"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4</w:t>
            </w:r>
          </w:p>
        </w:tc>
        <w:tc>
          <w:tcPr>
            <w:tcW w:w="10057" w:type="dxa"/>
            <w:gridSpan w:val="5"/>
            <w:shd w:val="clear" w:color="000000" w:fill="538DD5"/>
            <w:noWrap/>
            <w:vAlign w:val="center"/>
            <w:hideMark/>
          </w:tcPr>
          <w:p w14:paraId="524E9B6A"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CONTEXTO DE LA ORGANIZACIÓN</w:t>
            </w:r>
          </w:p>
        </w:tc>
        <w:tc>
          <w:tcPr>
            <w:tcW w:w="850" w:type="dxa"/>
            <w:shd w:val="clear" w:color="000000" w:fill="538DD5"/>
            <w:noWrap/>
            <w:vAlign w:val="center"/>
            <w:hideMark/>
          </w:tcPr>
          <w:p w14:paraId="2CAD146A"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30%</w:t>
            </w:r>
          </w:p>
        </w:tc>
        <w:tc>
          <w:tcPr>
            <w:tcW w:w="3782" w:type="dxa"/>
            <w:shd w:val="clear" w:color="000000" w:fill="538DD5"/>
            <w:noWrap/>
            <w:vAlign w:val="center"/>
            <w:hideMark/>
          </w:tcPr>
          <w:p w14:paraId="06F4F75C"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7EC23785"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4C4BE0" w:rsidRPr="00E305B4" w14:paraId="6F575FDC" w14:textId="77777777" w:rsidTr="007F5968">
        <w:trPr>
          <w:trHeight w:val="20"/>
        </w:trPr>
        <w:tc>
          <w:tcPr>
            <w:tcW w:w="840" w:type="dxa"/>
            <w:shd w:val="clear" w:color="000000" w:fill="538DD5"/>
            <w:noWrap/>
            <w:vAlign w:val="center"/>
            <w:hideMark/>
          </w:tcPr>
          <w:p w14:paraId="4AD12D15"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4.1</w:t>
            </w:r>
          </w:p>
        </w:tc>
        <w:tc>
          <w:tcPr>
            <w:tcW w:w="4405" w:type="dxa"/>
            <w:gridSpan w:val="2"/>
            <w:shd w:val="clear" w:color="000000" w:fill="538DD5"/>
            <w:noWrap/>
            <w:vAlign w:val="center"/>
            <w:hideMark/>
          </w:tcPr>
          <w:p w14:paraId="55BB5206"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Conocimiento de la organización y su contexto</w:t>
            </w:r>
          </w:p>
        </w:tc>
        <w:tc>
          <w:tcPr>
            <w:tcW w:w="1368" w:type="dxa"/>
            <w:shd w:val="clear" w:color="000000" w:fill="538DD5"/>
            <w:noWrap/>
            <w:vAlign w:val="center"/>
            <w:hideMark/>
          </w:tcPr>
          <w:p w14:paraId="0E469064" w14:textId="77777777" w:rsidR="007F5968" w:rsidRPr="00E305B4" w:rsidRDefault="007F5968" w:rsidP="000F099B">
            <w:pPr>
              <w:rPr>
                <w:rFonts w:asciiTheme="majorHAnsi" w:eastAsia="Times New Roman" w:hAnsiTheme="majorHAnsi" w:cstheme="majorHAnsi"/>
                <w:b/>
                <w:bCs/>
                <w:sz w:val="16"/>
                <w:szCs w:val="16"/>
                <w:lang w:val="es-CO" w:eastAsia="es-CO"/>
              </w:rPr>
            </w:pPr>
            <w:r w:rsidRPr="00E305B4">
              <w:rPr>
                <w:rFonts w:asciiTheme="majorHAnsi" w:eastAsia="Times New Roman" w:hAnsiTheme="majorHAnsi" w:cstheme="majorHAnsi"/>
                <w:b/>
                <w:bCs/>
                <w:sz w:val="16"/>
                <w:szCs w:val="16"/>
                <w:lang w:val="es-CO" w:eastAsia="es-CO"/>
              </w:rPr>
              <w:t> </w:t>
            </w:r>
          </w:p>
        </w:tc>
        <w:tc>
          <w:tcPr>
            <w:tcW w:w="3246" w:type="dxa"/>
            <w:shd w:val="clear" w:color="000000" w:fill="538DD5"/>
            <w:noWrap/>
            <w:vAlign w:val="center"/>
            <w:hideMark/>
          </w:tcPr>
          <w:p w14:paraId="441E087F"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038" w:type="dxa"/>
            <w:shd w:val="clear" w:color="000000" w:fill="538DD5"/>
            <w:noWrap/>
            <w:vAlign w:val="center"/>
            <w:hideMark/>
          </w:tcPr>
          <w:p w14:paraId="4F38C481" w14:textId="77777777" w:rsidR="007F5968" w:rsidRPr="00E305B4" w:rsidRDefault="007F5968" w:rsidP="000F099B">
            <w:pPr>
              <w:rPr>
                <w:rFonts w:asciiTheme="majorHAnsi" w:eastAsia="Times New Roman" w:hAnsiTheme="majorHAnsi" w:cstheme="majorHAnsi"/>
                <w:b/>
                <w:bCs/>
                <w:sz w:val="16"/>
                <w:szCs w:val="16"/>
                <w:lang w:val="es-CO" w:eastAsia="es-CO"/>
              </w:rPr>
            </w:pPr>
            <w:r w:rsidRPr="00E305B4">
              <w:rPr>
                <w:rFonts w:asciiTheme="majorHAnsi" w:eastAsia="Times New Roman" w:hAnsiTheme="majorHAnsi" w:cstheme="majorHAnsi"/>
                <w:b/>
                <w:bCs/>
                <w:sz w:val="16"/>
                <w:szCs w:val="16"/>
                <w:lang w:val="es-CO" w:eastAsia="es-CO"/>
              </w:rPr>
              <w:t> </w:t>
            </w:r>
          </w:p>
        </w:tc>
        <w:tc>
          <w:tcPr>
            <w:tcW w:w="850" w:type="dxa"/>
            <w:shd w:val="clear" w:color="000000" w:fill="538DD5"/>
            <w:noWrap/>
            <w:vAlign w:val="center"/>
            <w:hideMark/>
          </w:tcPr>
          <w:p w14:paraId="4FD776EF"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40%</w:t>
            </w:r>
          </w:p>
        </w:tc>
        <w:tc>
          <w:tcPr>
            <w:tcW w:w="3782" w:type="dxa"/>
            <w:shd w:val="clear" w:color="000000" w:fill="538DD5"/>
            <w:noWrap/>
            <w:vAlign w:val="center"/>
            <w:hideMark/>
          </w:tcPr>
          <w:p w14:paraId="17FA8226"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005F9EAF"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6C4605E2" w14:textId="77777777" w:rsidTr="007F5968">
        <w:trPr>
          <w:trHeight w:val="20"/>
        </w:trPr>
        <w:tc>
          <w:tcPr>
            <w:tcW w:w="840" w:type="dxa"/>
            <w:shd w:val="clear" w:color="auto" w:fill="auto"/>
            <w:vAlign w:val="center"/>
            <w:hideMark/>
          </w:tcPr>
          <w:p w14:paraId="06057549"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4.1</w:t>
            </w:r>
          </w:p>
        </w:tc>
        <w:tc>
          <w:tcPr>
            <w:tcW w:w="1854" w:type="dxa"/>
            <w:shd w:val="clear" w:color="auto" w:fill="auto"/>
            <w:vAlign w:val="center"/>
            <w:hideMark/>
          </w:tcPr>
          <w:p w14:paraId="1A7124D9"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Conocimiento de la organización y su contexto</w:t>
            </w:r>
          </w:p>
        </w:tc>
        <w:tc>
          <w:tcPr>
            <w:tcW w:w="2551" w:type="dxa"/>
            <w:shd w:val="clear" w:color="auto" w:fill="auto"/>
            <w:vAlign w:val="center"/>
            <w:hideMark/>
          </w:tcPr>
          <w:p w14:paraId="019F5C92"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organización debe determinar las cuestiones externas e internas que son pertinentes para su propósito y que afectan su capacidad para lograr los resultados previstos de su sistema de gestión de la seguridad de la información.</w:t>
            </w:r>
          </w:p>
        </w:tc>
        <w:tc>
          <w:tcPr>
            <w:tcW w:w="1368" w:type="dxa"/>
            <w:shd w:val="clear" w:color="000000" w:fill="FFC000"/>
            <w:vAlign w:val="center"/>
            <w:hideMark/>
          </w:tcPr>
          <w:p w14:paraId="59AF084E"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PARCIAL</w:t>
            </w:r>
          </w:p>
        </w:tc>
        <w:tc>
          <w:tcPr>
            <w:tcW w:w="3246" w:type="dxa"/>
            <w:shd w:val="clear" w:color="auto" w:fill="auto"/>
            <w:vAlign w:val="center"/>
            <w:hideMark/>
          </w:tcPr>
          <w:p w14:paraId="2ADE8C2E"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cuenta con un contexto a nivel del sistema integrado de gestión, pero se debe complementar con las cuestiones externas e internas pertinentes al sistema de gestión de la seguridad de la información.</w:t>
            </w:r>
          </w:p>
        </w:tc>
        <w:tc>
          <w:tcPr>
            <w:tcW w:w="1038" w:type="dxa"/>
            <w:shd w:val="clear" w:color="000000" w:fill="FFFF00"/>
            <w:noWrap/>
            <w:vAlign w:val="center"/>
            <w:hideMark/>
          </w:tcPr>
          <w:p w14:paraId="36B4789C"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Repetible</w:t>
            </w:r>
          </w:p>
        </w:tc>
        <w:tc>
          <w:tcPr>
            <w:tcW w:w="850" w:type="dxa"/>
            <w:shd w:val="clear" w:color="auto" w:fill="auto"/>
            <w:noWrap/>
            <w:vAlign w:val="center"/>
            <w:hideMark/>
          </w:tcPr>
          <w:p w14:paraId="4483BF7B" w14:textId="77777777" w:rsidR="007F5968" w:rsidRPr="00E305B4" w:rsidRDefault="00274728"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8</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0D559E1D" w14:textId="77777777" w:rsidR="007F5968"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Actualizar en el manual del sistema integrado de gestión el contexto organizacional, con aspectos pertinentes a la seguridad de la información.</w:t>
            </w:r>
            <w:r>
              <w:rPr>
                <w:rFonts w:asciiTheme="majorHAnsi" w:eastAsia="Times New Roman" w:hAnsiTheme="majorHAnsi" w:cstheme="majorHAnsi"/>
                <w:color w:val="000000"/>
                <w:sz w:val="16"/>
                <w:szCs w:val="16"/>
                <w:lang w:val="es-CO" w:eastAsia="es-CO"/>
              </w:rPr>
              <w:t xml:space="preserve"> </w:t>
            </w:r>
          </w:p>
          <w:p w14:paraId="289F7C81" w14:textId="77777777" w:rsidR="007F5968" w:rsidRDefault="007F5968" w:rsidP="000F099B">
            <w:pPr>
              <w:rPr>
                <w:rFonts w:asciiTheme="majorHAnsi" w:eastAsia="Times New Roman" w:hAnsiTheme="majorHAnsi" w:cstheme="majorHAnsi"/>
                <w:color w:val="000000"/>
                <w:sz w:val="16"/>
                <w:szCs w:val="16"/>
                <w:lang w:val="es-CO" w:eastAsia="es-CO"/>
              </w:rPr>
            </w:pPr>
          </w:p>
          <w:p w14:paraId="09781CA9" w14:textId="77777777" w:rsidR="007F5968" w:rsidRPr="007F5968" w:rsidRDefault="007F5968" w:rsidP="000F099B">
            <w:pPr>
              <w:rPr>
                <w:rFonts w:asciiTheme="majorHAnsi" w:eastAsia="Times New Roman" w:hAnsiTheme="majorHAnsi" w:cstheme="majorHAnsi"/>
                <w:b/>
                <w:bCs/>
                <w:color w:val="000000"/>
                <w:sz w:val="16"/>
                <w:szCs w:val="16"/>
                <w:lang w:val="es-CO" w:eastAsia="es-CO"/>
              </w:rPr>
            </w:pPr>
            <w:r w:rsidRPr="007F5968">
              <w:rPr>
                <w:rFonts w:asciiTheme="majorHAnsi" w:eastAsia="Times New Roman" w:hAnsiTheme="majorHAnsi" w:cstheme="majorHAnsi"/>
                <w:b/>
                <w:bCs/>
                <w:color w:val="FF0000"/>
                <w:sz w:val="16"/>
                <w:szCs w:val="16"/>
                <w:lang w:val="es-CO" w:eastAsia="es-CO"/>
              </w:rPr>
              <w:t xml:space="preserve">Si se tiene solo se espera en la adopción y que la oficina de calidad vea </w:t>
            </w:r>
            <w:proofErr w:type="gramStart"/>
            <w:r w:rsidRPr="007F5968">
              <w:rPr>
                <w:rFonts w:asciiTheme="majorHAnsi" w:eastAsia="Times New Roman" w:hAnsiTheme="majorHAnsi" w:cstheme="majorHAnsi"/>
                <w:b/>
                <w:bCs/>
                <w:color w:val="FF0000"/>
                <w:sz w:val="16"/>
                <w:szCs w:val="16"/>
                <w:lang w:val="es-CO" w:eastAsia="es-CO"/>
              </w:rPr>
              <w:t>EVIDENCIAS  de</w:t>
            </w:r>
            <w:proofErr w:type="gramEnd"/>
            <w:r w:rsidRPr="007F5968">
              <w:rPr>
                <w:rFonts w:asciiTheme="majorHAnsi" w:eastAsia="Times New Roman" w:hAnsiTheme="majorHAnsi" w:cstheme="majorHAnsi"/>
                <w:b/>
                <w:bCs/>
                <w:color w:val="FF0000"/>
                <w:sz w:val="16"/>
                <w:szCs w:val="16"/>
                <w:lang w:val="es-CO" w:eastAsia="es-CO"/>
              </w:rPr>
              <w:t xml:space="preserve"> la implementación </w:t>
            </w:r>
          </w:p>
        </w:tc>
        <w:tc>
          <w:tcPr>
            <w:tcW w:w="1763" w:type="dxa"/>
          </w:tcPr>
          <w:p w14:paraId="5FF030EC" w14:textId="77777777" w:rsidR="007F5968" w:rsidRPr="00274728" w:rsidRDefault="007F5968" w:rsidP="00187127">
            <w:pPr>
              <w:pStyle w:val="Prrafodelista"/>
              <w:numPr>
                <w:ilvl w:val="0"/>
                <w:numId w:val="11"/>
              </w:numPr>
              <w:tabs>
                <w:tab w:val="left" w:pos="138"/>
              </w:tabs>
              <w:ind w:left="-4" w:firstLine="4"/>
              <w:rPr>
                <w:rFonts w:asciiTheme="majorHAnsi" w:eastAsia="Times New Roman" w:hAnsiTheme="majorHAnsi" w:cstheme="majorHAnsi"/>
                <w:color w:val="000000"/>
                <w:sz w:val="16"/>
                <w:szCs w:val="16"/>
                <w:highlight w:val="cyan"/>
                <w:lang w:val="es-CO" w:eastAsia="es-CO"/>
              </w:rPr>
            </w:pPr>
            <w:r w:rsidRPr="00274728">
              <w:rPr>
                <w:rFonts w:asciiTheme="majorHAnsi" w:eastAsia="Times New Roman" w:hAnsiTheme="majorHAnsi" w:cstheme="majorHAnsi"/>
                <w:color w:val="000000"/>
                <w:sz w:val="16"/>
                <w:szCs w:val="16"/>
                <w:highlight w:val="cyan"/>
                <w:lang w:val="es-CO" w:eastAsia="es-CO"/>
              </w:rPr>
              <w:t>Manual del SIG Actualizado</w:t>
            </w:r>
          </w:p>
          <w:p w14:paraId="1C91AA0C" w14:textId="77777777" w:rsidR="00955FD3" w:rsidRPr="00274728" w:rsidRDefault="00955FD3" w:rsidP="00955FD3">
            <w:pPr>
              <w:pStyle w:val="Prrafodelista"/>
              <w:tabs>
                <w:tab w:val="left" w:pos="138"/>
              </w:tabs>
              <w:ind w:left="0" w:firstLine="0"/>
              <w:rPr>
                <w:rFonts w:asciiTheme="majorHAnsi" w:eastAsia="Times New Roman" w:hAnsiTheme="majorHAnsi" w:cstheme="majorHAnsi"/>
                <w:color w:val="000000"/>
                <w:sz w:val="16"/>
                <w:szCs w:val="16"/>
                <w:highlight w:val="cyan"/>
                <w:lang w:val="es-CO" w:eastAsia="es-CO"/>
              </w:rPr>
            </w:pPr>
          </w:p>
          <w:p w14:paraId="1B355FCF" w14:textId="77777777" w:rsidR="007F5968" w:rsidRPr="00274728" w:rsidRDefault="00955FD3" w:rsidP="00187127">
            <w:pPr>
              <w:pStyle w:val="Prrafodelista"/>
              <w:numPr>
                <w:ilvl w:val="0"/>
                <w:numId w:val="11"/>
              </w:numPr>
              <w:tabs>
                <w:tab w:val="left" w:pos="138"/>
              </w:tabs>
              <w:ind w:left="-4" w:firstLine="4"/>
              <w:rPr>
                <w:rFonts w:asciiTheme="majorHAnsi" w:eastAsia="Times New Roman" w:hAnsiTheme="majorHAnsi" w:cstheme="majorHAnsi"/>
                <w:color w:val="000000"/>
                <w:sz w:val="16"/>
                <w:szCs w:val="16"/>
                <w:highlight w:val="cyan"/>
                <w:lang w:val="es-CO" w:eastAsia="es-CO"/>
              </w:rPr>
            </w:pPr>
            <w:r w:rsidRPr="00274728">
              <w:rPr>
                <w:rFonts w:asciiTheme="majorHAnsi" w:eastAsia="Times New Roman" w:hAnsiTheme="majorHAnsi" w:cstheme="majorHAnsi"/>
                <w:color w:val="000000"/>
                <w:sz w:val="16"/>
                <w:szCs w:val="16"/>
                <w:highlight w:val="cyan"/>
                <w:lang w:val="es-CO" w:eastAsia="es-CO"/>
              </w:rPr>
              <w:t>Soporte de implementación del sistema de seguridad</w:t>
            </w:r>
          </w:p>
          <w:p w14:paraId="69A94CAE" w14:textId="77777777" w:rsidR="00274728" w:rsidRPr="00274728" w:rsidRDefault="00274728" w:rsidP="00274728">
            <w:pPr>
              <w:pStyle w:val="Prrafodelista"/>
              <w:rPr>
                <w:rFonts w:asciiTheme="majorHAnsi" w:eastAsia="Times New Roman" w:hAnsiTheme="majorHAnsi" w:cstheme="majorHAnsi"/>
                <w:color w:val="000000"/>
                <w:sz w:val="16"/>
                <w:szCs w:val="16"/>
                <w:lang w:val="es-CO" w:eastAsia="es-CO"/>
              </w:rPr>
            </w:pPr>
          </w:p>
          <w:p w14:paraId="1EEFB02A" w14:textId="77777777" w:rsidR="00274728" w:rsidRPr="007F5968" w:rsidRDefault="00274728" w:rsidP="00187127">
            <w:pPr>
              <w:pStyle w:val="Prrafodelista"/>
              <w:numPr>
                <w:ilvl w:val="0"/>
                <w:numId w:val="11"/>
              </w:numPr>
              <w:tabs>
                <w:tab w:val="left" w:pos="138"/>
              </w:tabs>
              <w:ind w:left="-4" w:firstLine="4"/>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 </w:t>
            </w:r>
            <w:r w:rsidRPr="00274728">
              <w:rPr>
                <w:rFonts w:asciiTheme="majorHAnsi" w:eastAsia="Times New Roman" w:hAnsiTheme="majorHAnsi" w:cstheme="majorHAnsi"/>
                <w:color w:val="000000"/>
                <w:sz w:val="16"/>
                <w:szCs w:val="16"/>
                <w:highlight w:val="green"/>
                <w:lang w:val="es-CO" w:eastAsia="es-CO"/>
              </w:rPr>
              <w:t>Las cuestiones internas y externas están en el Anexo 23 del manual</w:t>
            </w:r>
          </w:p>
        </w:tc>
      </w:tr>
      <w:tr w:rsidR="00BC0293" w:rsidRPr="00E305B4" w14:paraId="7EF8DFB3" w14:textId="77777777" w:rsidTr="007F5968">
        <w:trPr>
          <w:trHeight w:val="20"/>
        </w:trPr>
        <w:tc>
          <w:tcPr>
            <w:tcW w:w="840" w:type="dxa"/>
            <w:shd w:val="clear" w:color="000000" w:fill="538DD5"/>
            <w:noWrap/>
            <w:vAlign w:val="center"/>
            <w:hideMark/>
          </w:tcPr>
          <w:p w14:paraId="555CAC02"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4.2</w:t>
            </w:r>
          </w:p>
        </w:tc>
        <w:tc>
          <w:tcPr>
            <w:tcW w:w="10057" w:type="dxa"/>
            <w:gridSpan w:val="5"/>
            <w:shd w:val="clear" w:color="000000" w:fill="538DD5"/>
            <w:noWrap/>
            <w:vAlign w:val="center"/>
            <w:hideMark/>
          </w:tcPr>
          <w:p w14:paraId="5F3F9AC5"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Comprensión de las necesidades y expectativas de las partes interesadas</w:t>
            </w:r>
          </w:p>
        </w:tc>
        <w:tc>
          <w:tcPr>
            <w:tcW w:w="850" w:type="dxa"/>
            <w:shd w:val="clear" w:color="000000" w:fill="538DD5"/>
            <w:noWrap/>
            <w:vAlign w:val="center"/>
            <w:hideMark/>
          </w:tcPr>
          <w:p w14:paraId="262173CD"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20%</w:t>
            </w:r>
          </w:p>
        </w:tc>
        <w:tc>
          <w:tcPr>
            <w:tcW w:w="3782" w:type="dxa"/>
            <w:shd w:val="clear" w:color="000000" w:fill="538DD5"/>
            <w:noWrap/>
            <w:vAlign w:val="center"/>
            <w:hideMark/>
          </w:tcPr>
          <w:p w14:paraId="6C643917"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5BEF1B58"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4AC102C1" w14:textId="77777777" w:rsidTr="007F5968">
        <w:trPr>
          <w:trHeight w:val="20"/>
        </w:trPr>
        <w:tc>
          <w:tcPr>
            <w:tcW w:w="840" w:type="dxa"/>
            <w:shd w:val="clear" w:color="auto" w:fill="auto"/>
            <w:vAlign w:val="center"/>
            <w:hideMark/>
          </w:tcPr>
          <w:p w14:paraId="2CAAC2F9"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4.2 (a)</w:t>
            </w:r>
          </w:p>
        </w:tc>
        <w:tc>
          <w:tcPr>
            <w:tcW w:w="1854" w:type="dxa"/>
            <w:vMerge w:val="restart"/>
            <w:shd w:val="clear" w:color="auto" w:fill="auto"/>
            <w:vAlign w:val="center"/>
            <w:hideMark/>
          </w:tcPr>
          <w:p w14:paraId="2E06A87E"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organización debe determinar:</w:t>
            </w:r>
          </w:p>
        </w:tc>
        <w:tc>
          <w:tcPr>
            <w:tcW w:w="2551" w:type="dxa"/>
            <w:shd w:val="clear" w:color="auto" w:fill="auto"/>
            <w:vAlign w:val="center"/>
            <w:hideMark/>
          </w:tcPr>
          <w:p w14:paraId="507AC20A"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las partes interesadas que son pertinentes al sistema de gestión de la seguridad de la información</w:t>
            </w:r>
          </w:p>
        </w:tc>
        <w:tc>
          <w:tcPr>
            <w:tcW w:w="1368" w:type="dxa"/>
            <w:shd w:val="clear" w:color="000000" w:fill="FFC000"/>
            <w:vAlign w:val="center"/>
            <w:hideMark/>
          </w:tcPr>
          <w:p w14:paraId="1072D26D"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PARCIAL</w:t>
            </w:r>
          </w:p>
        </w:tc>
        <w:tc>
          <w:tcPr>
            <w:tcW w:w="3246" w:type="dxa"/>
            <w:shd w:val="clear" w:color="auto" w:fill="auto"/>
            <w:vAlign w:val="center"/>
            <w:hideMark/>
          </w:tcPr>
          <w:p w14:paraId="1FFF5C71"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Se tienen identificados los interesados al nivel del sistema integrado de gestión y en la </w:t>
            </w:r>
            <w:r w:rsidRPr="007F5968">
              <w:rPr>
                <w:rFonts w:asciiTheme="majorHAnsi" w:eastAsia="Times New Roman" w:hAnsiTheme="majorHAnsi" w:cstheme="majorHAnsi"/>
                <w:b/>
                <w:bCs/>
                <w:color w:val="FF0000"/>
                <w:sz w:val="16"/>
                <w:szCs w:val="16"/>
                <w:lang w:val="es-CO" w:eastAsia="es-CO"/>
              </w:rPr>
              <w:t xml:space="preserve">resolución </w:t>
            </w:r>
            <w:r w:rsidR="004C4BE0">
              <w:rPr>
                <w:rFonts w:asciiTheme="majorHAnsi" w:eastAsia="Times New Roman" w:hAnsiTheme="majorHAnsi" w:cstheme="majorHAnsi"/>
                <w:b/>
                <w:bCs/>
                <w:color w:val="FF0000"/>
                <w:sz w:val="16"/>
                <w:szCs w:val="16"/>
                <w:lang w:val="es-CO" w:eastAsia="es-CO"/>
              </w:rPr>
              <w:t>0186 de 2019</w:t>
            </w:r>
            <w:r w:rsidRPr="007F5968">
              <w:rPr>
                <w:rFonts w:asciiTheme="majorHAnsi" w:eastAsia="Times New Roman" w:hAnsiTheme="majorHAnsi" w:cstheme="majorHAnsi"/>
                <w:b/>
                <w:bCs/>
                <w:color w:val="FF0000"/>
                <w:sz w:val="16"/>
                <w:szCs w:val="16"/>
                <w:lang w:val="es-CO" w:eastAsia="es-CO"/>
              </w:rPr>
              <w:t xml:space="preserve"> </w:t>
            </w:r>
            <w:r w:rsidRPr="00E305B4">
              <w:rPr>
                <w:rFonts w:asciiTheme="majorHAnsi" w:eastAsia="Times New Roman" w:hAnsiTheme="majorHAnsi" w:cstheme="majorHAnsi"/>
                <w:color w:val="000000"/>
                <w:sz w:val="16"/>
                <w:szCs w:val="16"/>
                <w:lang w:val="es-CO" w:eastAsia="es-CO"/>
              </w:rPr>
              <w:t>que define la política de seguridad de la información, pero se debe revisar para el sistema de gestión de la seguridad de la información.</w:t>
            </w:r>
          </w:p>
        </w:tc>
        <w:tc>
          <w:tcPr>
            <w:tcW w:w="1038" w:type="dxa"/>
            <w:shd w:val="clear" w:color="000000" w:fill="FFFF00"/>
            <w:noWrap/>
            <w:vAlign w:val="center"/>
            <w:hideMark/>
          </w:tcPr>
          <w:p w14:paraId="228A2169"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Repetible</w:t>
            </w:r>
          </w:p>
        </w:tc>
        <w:tc>
          <w:tcPr>
            <w:tcW w:w="850" w:type="dxa"/>
            <w:shd w:val="clear" w:color="auto" w:fill="auto"/>
            <w:noWrap/>
            <w:vAlign w:val="center"/>
            <w:hideMark/>
          </w:tcPr>
          <w:p w14:paraId="28308220"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5</w:t>
            </w: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67FCDC51" w14:textId="77777777" w:rsidR="007F5968"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Actualizar en el manual del sistema integrado de gestión las partes interesada en el SGSI, así como sus necesidades y expectativas en materia de seguridad de la información.</w:t>
            </w:r>
          </w:p>
          <w:p w14:paraId="6A9CEF55" w14:textId="77777777" w:rsidR="007F5968" w:rsidRDefault="007F5968" w:rsidP="000F099B">
            <w:pPr>
              <w:rPr>
                <w:rFonts w:asciiTheme="majorHAnsi" w:eastAsia="Times New Roman" w:hAnsiTheme="majorHAnsi" w:cstheme="majorHAnsi"/>
                <w:color w:val="000000"/>
                <w:sz w:val="16"/>
                <w:szCs w:val="16"/>
                <w:lang w:val="es-CO" w:eastAsia="es-CO"/>
              </w:rPr>
            </w:pPr>
          </w:p>
          <w:p w14:paraId="21967CE7" w14:textId="77777777" w:rsidR="007F5968" w:rsidRPr="007F5968" w:rsidRDefault="007F5968" w:rsidP="000F099B">
            <w:pPr>
              <w:rPr>
                <w:rFonts w:asciiTheme="majorHAnsi" w:eastAsia="Times New Roman" w:hAnsiTheme="majorHAnsi" w:cstheme="majorHAnsi"/>
                <w:b/>
                <w:bCs/>
                <w:color w:val="548DD4" w:themeColor="text2" w:themeTint="99"/>
                <w:sz w:val="16"/>
                <w:szCs w:val="16"/>
                <w:u w:val="single"/>
                <w:lang w:val="es-CO" w:eastAsia="es-CO"/>
              </w:rPr>
            </w:pPr>
            <w:r w:rsidRPr="007F5968">
              <w:rPr>
                <w:rFonts w:asciiTheme="majorHAnsi" w:eastAsia="Times New Roman" w:hAnsiTheme="majorHAnsi" w:cstheme="majorHAnsi"/>
                <w:b/>
                <w:bCs/>
                <w:color w:val="FF0000"/>
                <w:sz w:val="16"/>
                <w:szCs w:val="16"/>
                <w:lang w:val="es-CO" w:eastAsia="es-CO"/>
              </w:rPr>
              <w:t>Si se tiene solo se espera en la adopción y que la oficina de calidad</w:t>
            </w:r>
            <w:r w:rsidRPr="007F5968">
              <w:rPr>
                <w:rFonts w:asciiTheme="majorHAnsi" w:eastAsia="Times New Roman" w:hAnsiTheme="majorHAnsi" w:cstheme="majorHAnsi"/>
                <w:b/>
                <w:bCs/>
                <w:color w:val="548DD4" w:themeColor="text2" w:themeTint="99"/>
                <w:sz w:val="16"/>
                <w:szCs w:val="16"/>
                <w:u w:val="single"/>
                <w:lang w:val="es-CO" w:eastAsia="es-CO"/>
              </w:rPr>
              <w:t>. Se cuenta con evidencias de la actualización de la Resolución 0186 de 2019.</w:t>
            </w:r>
          </w:p>
          <w:p w14:paraId="25426869"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1763" w:type="dxa"/>
          </w:tcPr>
          <w:p w14:paraId="7FAC4A59" w14:textId="77777777" w:rsidR="00955FD3" w:rsidRDefault="00955FD3" w:rsidP="00187127">
            <w:pPr>
              <w:pStyle w:val="Prrafodelista"/>
              <w:numPr>
                <w:ilvl w:val="0"/>
                <w:numId w:val="12"/>
              </w:numPr>
              <w:tabs>
                <w:tab w:val="left" w:pos="138"/>
              </w:tabs>
              <w:ind w:left="0" w:firstLine="0"/>
              <w:rPr>
                <w:rFonts w:asciiTheme="majorHAnsi" w:eastAsia="Times New Roman" w:hAnsiTheme="majorHAnsi" w:cstheme="majorHAnsi"/>
                <w:color w:val="000000"/>
                <w:sz w:val="16"/>
                <w:szCs w:val="16"/>
                <w:lang w:val="es-CO" w:eastAsia="es-CO"/>
              </w:rPr>
            </w:pPr>
            <w:r w:rsidRPr="007F5968">
              <w:rPr>
                <w:rFonts w:asciiTheme="majorHAnsi" w:eastAsia="Times New Roman" w:hAnsiTheme="majorHAnsi" w:cstheme="majorHAnsi"/>
                <w:color w:val="000000"/>
                <w:sz w:val="16"/>
                <w:szCs w:val="16"/>
                <w:lang w:val="es-CO" w:eastAsia="es-CO"/>
              </w:rPr>
              <w:t>Manual del SIG Actualizado</w:t>
            </w:r>
          </w:p>
          <w:p w14:paraId="0FAD401B" w14:textId="77777777" w:rsidR="00955FD3" w:rsidRDefault="00955FD3" w:rsidP="00955FD3">
            <w:pPr>
              <w:pStyle w:val="Prrafodelista"/>
              <w:tabs>
                <w:tab w:val="left" w:pos="138"/>
              </w:tabs>
              <w:ind w:left="0" w:firstLine="0"/>
              <w:rPr>
                <w:rFonts w:asciiTheme="majorHAnsi" w:eastAsia="Times New Roman" w:hAnsiTheme="majorHAnsi" w:cstheme="majorHAnsi"/>
                <w:color w:val="000000"/>
                <w:sz w:val="16"/>
                <w:szCs w:val="16"/>
                <w:lang w:val="es-CO" w:eastAsia="es-CO"/>
              </w:rPr>
            </w:pPr>
          </w:p>
          <w:p w14:paraId="04810462" w14:textId="77777777" w:rsidR="00955FD3" w:rsidRPr="00955FD3" w:rsidRDefault="00955FD3" w:rsidP="00187127">
            <w:pPr>
              <w:pStyle w:val="Prrafodelista"/>
              <w:numPr>
                <w:ilvl w:val="0"/>
                <w:numId w:val="12"/>
              </w:numPr>
              <w:tabs>
                <w:tab w:val="left" w:pos="138"/>
              </w:tabs>
              <w:ind w:left="0" w:firstLine="0"/>
              <w:rPr>
                <w:rFonts w:asciiTheme="majorHAnsi" w:eastAsia="Times New Roman" w:hAnsiTheme="majorHAnsi" w:cstheme="majorHAnsi"/>
                <w:color w:val="000000"/>
                <w:sz w:val="16"/>
                <w:szCs w:val="16"/>
                <w:highlight w:val="green"/>
                <w:lang w:val="es-CO" w:eastAsia="es-CO"/>
              </w:rPr>
            </w:pPr>
            <w:r w:rsidRPr="00955FD3">
              <w:rPr>
                <w:rFonts w:asciiTheme="majorHAnsi" w:eastAsia="Times New Roman" w:hAnsiTheme="majorHAnsi" w:cstheme="majorHAnsi"/>
                <w:color w:val="000000"/>
                <w:sz w:val="16"/>
                <w:szCs w:val="16"/>
                <w:highlight w:val="green"/>
                <w:lang w:val="es-CO" w:eastAsia="es-CO"/>
              </w:rPr>
              <w:t xml:space="preserve">Actualización de la Resolución 0186 de </w:t>
            </w:r>
            <w:proofErr w:type="gramStart"/>
            <w:r w:rsidRPr="00955FD3">
              <w:rPr>
                <w:rFonts w:asciiTheme="majorHAnsi" w:eastAsia="Times New Roman" w:hAnsiTheme="majorHAnsi" w:cstheme="majorHAnsi"/>
                <w:color w:val="000000"/>
                <w:sz w:val="16"/>
                <w:szCs w:val="16"/>
                <w:highlight w:val="green"/>
                <w:lang w:val="es-CO" w:eastAsia="es-CO"/>
              </w:rPr>
              <w:t xml:space="preserve">2019  </w:t>
            </w:r>
            <w:r>
              <w:rPr>
                <w:rFonts w:asciiTheme="majorHAnsi" w:eastAsia="Times New Roman" w:hAnsiTheme="majorHAnsi" w:cstheme="majorHAnsi"/>
                <w:color w:val="000000"/>
                <w:sz w:val="16"/>
                <w:szCs w:val="16"/>
                <w:highlight w:val="green"/>
                <w:lang w:val="es-CO" w:eastAsia="es-CO"/>
              </w:rPr>
              <w:t>…</w:t>
            </w:r>
            <w:proofErr w:type="gramEnd"/>
            <w:r>
              <w:rPr>
                <w:rFonts w:asciiTheme="majorHAnsi" w:eastAsia="Times New Roman" w:hAnsiTheme="majorHAnsi" w:cstheme="majorHAnsi"/>
                <w:color w:val="000000"/>
                <w:sz w:val="16"/>
                <w:szCs w:val="16"/>
                <w:highlight w:val="green"/>
                <w:lang w:val="es-CO" w:eastAsia="es-CO"/>
              </w:rPr>
              <w:t>……</w:t>
            </w:r>
            <w:r w:rsidRPr="00955FD3">
              <w:rPr>
                <w:rFonts w:asciiTheme="majorHAnsi" w:eastAsia="Times New Roman" w:hAnsiTheme="majorHAnsi" w:cstheme="majorHAnsi"/>
                <w:color w:val="000000"/>
                <w:sz w:val="16"/>
                <w:szCs w:val="16"/>
                <w:highlight w:val="green"/>
                <w:lang w:val="es-CO" w:eastAsia="es-CO"/>
              </w:rPr>
              <w:t>OK</w:t>
            </w:r>
          </w:p>
          <w:p w14:paraId="6491DC65"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288C0BE0" w14:textId="77777777" w:rsidTr="007F5968">
        <w:trPr>
          <w:trHeight w:val="20"/>
        </w:trPr>
        <w:tc>
          <w:tcPr>
            <w:tcW w:w="840" w:type="dxa"/>
            <w:shd w:val="clear" w:color="auto" w:fill="auto"/>
            <w:vAlign w:val="center"/>
            <w:hideMark/>
          </w:tcPr>
          <w:p w14:paraId="69938DD0"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4.2 (b)</w:t>
            </w:r>
          </w:p>
        </w:tc>
        <w:tc>
          <w:tcPr>
            <w:tcW w:w="1854" w:type="dxa"/>
            <w:vMerge/>
            <w:vAlign w:val="center"/>
            <w:hideMark/>
          </w:tcPr>
          <w:p w14:paraId="5CB44D63"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0C09AD3A"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los requisitos de estas partes interesadas pertinentes a seguridad de la información.</w:t>
            </w:r>
            <w:r w:rsidRPr="00E305B4">
              <w:rPr>
                <w:rFonts w:asciiTheme="majorHAnsi" w:eastAsia="Times New Roman" w:hAnsiTheme="majorHAnsi" w:cstheme="majorHAnsi"/>
                <w:color w:val="000000"/>
                <w:sz w:val="16"/>
                <w:szCs w:val="16"/>
                <w:lang w:val="es-CO" w:eastAsia="es-CO"/>
              </w:rPr>
              <w:br/>
            </w:r>
            <w:r w:rsidRPr="00E305B4">
              <w:rPr>
                <w:rFonts w:asciiTheme="majorHAnsi" w:eastAsia="Times New Roman" w:hAnsiTheme="majorHAnsi" w:cstheme="majorHAnsi"/>
                <w:b/>
                <w:bCs/>
                <w:color w:val="000000"/>
                <w:sz w:val="16"/>
                <w:szCs w:val="16"/>
                <w:lang w:val="es-CO" w:eastAsia="es-CO"/>
              </w:rPr>
              <w:t xml:space="preserve">NOTA </w:t>
            </w:r>
            <w:r w:rsidRPr="00E305B4">
              <w:rPr>
                <w:rFonts w:asciiTheme="majorHAnsi" w:eastAsia="Times New Roman" w:hAnsiTheme="majorHAnsi" w:cstheme="majorHAnsi"/>
                <w:color w:val="000000"/>
                <w:sz w:val="16"/>
                <w:szCs w:val="16"/>
                <w:lang w:val="es-CO" w:eastAsia="es-CO"/>
              </w:rPr>
              <w:t>Los requisitos de las partes interesadas pueden incluir los requisitos legales y de reglamentación, y las obligaciones contractuales.</w:t>
            </w:r>
          </w:p>
        </w:tc>
        <w:tc>
          <w:tcPr>
            <w:tcW w:w="1368" w:type="dxa"/>
            <w:shd w:val="clear" w:color="000000" w:fill="FFC000"/>
            <w:vAlign w:val="center"/>
            <w:hideMark/>
          </w:tcPr>
          <w:p w14:paraId="6A4750E0"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PARCIAL</w:t>
            </w:r>
          </w:p>
        </w:tc>
        <w:tc>
          <w:tcPr>
            <w:tcW w:w="3246" w:type="dxa"/>
            <w:shd w:val="clear" w:color="auto" w:fill="auto"/>
            <w:vAlign w:val="center"/>
            <w:hideMark/>
          </w:tcPr>
          <w:p w14:paraId="4CF6942A"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Se cuenta con requisitos de clientes internos y clientes externos en estudios previos, y clausulas en contratos. </w:t>
            </w:r>
          </w:p>
        </w:tc>
        <w:tc>
          <w:tcPr>
            <w:tcW w:w="1038" w:type="dxa"/>
            <w:shd w:val="clear" w:color="000000" w:fill="FFFF00"/>
            <w:noWrap/>
            <w:vAlign w:val="center"/>
            <w:hideMark/>
          </w:tcPr>
          <w:p w14:paraId="2A9EF397"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Repetible</w:t>
            </w:r>
          </w:p>
        </w:tc>
        <w:tc>
          <w:tcPr>
            <w:tcW w:w="850" w:type="dxa"/>
            <w:shd w:val="clear" w:color="auto" w:fill="auto"/>
            <w:noWrap/>
            <w:vAlign w:val="center"/>
            <w:hideMark/>
          </w:tcPr>
          <w:p w14:paraId="2EF3A3A6"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100</w:t>
            </w:r>
            <w:r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53D9EF32" w14:textId="77777777" w:rsidR="007F5968"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Actualizar en el manual del sistema integrado de gestión las partes interesadas en el SGSI, así como sus necesidades y expectativas en materia de seguridad de la información.</w:t>
            </w:r>
          </w:p>
          <w:p w14:paraId="6ABA2D79" w14:textId="77777777" w:rsidR="007F5968" w:rsidRDefault="007F5968" w:rsidP="000F099B">
            <w:pPr>
              <w:rPr>
                <w:rFonts w:asciiTheme="majorHAnsi" w:eastAsia="Times New Roman" w:hAnsiTheme="majorHAnsi" w:cstheme="majorHAnsi"/>
                <w:color w:val="000000"/>
                <w:sz w:val="16"/>
                <w:szCs w:val="16"/>
                <w:lang w:val="es-CO" w:eastAsia="es-CO"/>
              </w:rPr>
            </w:pPr>
          </w:p>
          <w:p w14:paraId="036F72C5" w14:textId="77777777" w:rsidR="007F5968" w:rsidRDefault="007F5968" w:rsidP="000F099B">
            <w:pPr>
              <w:rPr>
                <w:rFonts w:asciiTheme="majorHAnsi" w:eastAsia="Times New Roman" w:hAnsiTheme="majorHAnsi" w:cstheme="majorHAnsi"/>
                <w:b/>
                <w:bCs/>
                <w:color w:val="000000"/>
                <w:sz w:val="16"/>
                <w:szCs w:val="16"/>
                <w:lang w:val="es-CO" w:eastAsia="es-CO"/>
              </w:rPr>
            </w:pPr>
            <w:r w:rsidRPr="007F5968">
              <w:rPr>
                <w:rFonts w:asciiTheme="majorHAnsi" w:eastAsia="Times New Roman" w:hAnsiTheme="majorHAnsi" w:cstheme="majorHAnsi"/>
                <w:b/>
                <w:bCs/>
                <w:color w:val="FF0000"/>
                <w:sz w:val="16"/>
                <w:szCs w:val="16"/>
                <w:lang w:val="es-CO" w:eastAsia="es-CO"/>
              </w:rPr>
              <w:t>Soporte de los requisitos de las partes interesadas pueden incluir los requisitos legales y de reglamentación, y las obligaciones contractuales</w:t>
            </w:r>
            <w:r w:rsidRPr="007F5968">
              <w:rPr>
                <w:rFonts w:asciiTheme="majorHAnsi" w:eastAsia="Times New Roman" w:hAnsiTheme="majorHAnsi" w:cstheme="majorHAnsi"/>
                <w:b/>
                <w:bCs/>
                <w:color w:val="000000"/>
                <w:sz w:val="16"/>
                <w:szCs w:val="16"/>
                <w:lang w:val="es-CO" w:eastAsia="es-CO"/>
              </w:rPr>
              <w:t>.</w:t>
            </w:r>
            <w:r w:rsidR="00955FD3">
              <w:rPr>
                <w:rFonts w:asciiTheme="majorHAnsi" w:eastAsia="Times New Roman" w:hAnsiTheme="majorHAnsi" w:cstheme="majorHAnsi"/>
                <w:b/>
                <w:bCs/>
                <w:color w:val="000000"/>
                <w:sz w:val="16"/>
                <w:szCs w:val="16"/>
                <w:lang w:val="es-CO" w:eastAsia="es-CO"/>
              </w:rPr>
              <w:t xml:space="preserve"> </w:t>
            </w:r>
          </w:p>
          <w:p w14:paraId="6592B40D" w14:textId="77777777" w:rsidR="00955FD3" w:rsidRDefault="00955FD3" w:rsidP="000F099B">
            <w:pPr>
              <w:rPr>
                <w:rFonts w:asciiTheme="majorHAnsi" w:eastAsia="Times New Roman" w:hAnsiTheme="majorHAnsi" w:cstheme="majorHAnsi"/>
                <w:b/>
                <w:bCs/>
                <w:color w:val="000000"/>
                <w:sz w:val="16"/>
                <w:szCs w:val="16"/>
                <w:lang w:val="es-CO" w:eastAsia="es-CO"/>
              </w:rPr>
            </w:pPr>
          </w:p>
          <w:p w14:paraId="48123150" w14:textId="77777777" w:rsidR="00955FD3" w:rsidRPr="007F5968" w:rsidRDefault="00955FD3" w:rsidP="000F099B">
            <w:pPr>
              <w:rPr>
                <w:rFonts w:asciiTheme="majorHAnsi" w:eastAsia="Times New Roman" w:hAnsiTheme="majorHAnsi" w:cstheme="majorHAnsi"/>
                <w:b/>
                <w:bCs/>
                <w:color w:val="000000"/>
                <w:sz w:val="16"/>
                <w:szCs w:val="16"/>
                <w:lang w:val="es-CO" w:eastAsia="es-CO"/>
              </w:rPr>
            </w:pPr>
            <w:r>
              <w:rPr>
                <w:rFonts w:asciiTheme="majorHAnsi" w:eastAsia="Times New Roman" w:hAnsiTheme="majorHAnsi" w:cstheme="majorHAnsi"/>
                <w:b/>
                <w:bCs/>
                <w:color w:val="000000"/>
                <w:sz w:val="16"/>
                <w:szCs w:val="16"/>
                <w:lang w:val="es-CO" w:eastAsia="es-CO"/>
              </w:rPr>
              <w:t xml:space="preserve"> </w:t>
            </w:r>
            <w:r w:rsidRPr="00955FD3">
              <w:rPr>
                <w:rFonts w:asciiTheme="majorHAnsi" w:eastAsia="Times New Roman" w:hAnsiTheme="majorHAnsi" w:cstheme="majorHAnsi"/>
                <w:b/>
                <w:bCs/>
                <w:color w:val="000000"/>
                <w:sz w:val="16"/>
                <w:szCs w:val="16"/>
                <w:highlight w:val="cyan"/>
                <w:lang w:val="es-CO" w:eastAsia="es-CO"/>
              </w:rPr>
              <w:t>Se debe radicar el Manual de Políticas Especificas</w:t>
            </w:r>
            <w:r>
              <w:rPr>
                <w:rFonts w:asciiTheme="majorHAnsi" w:eastAsia="Times New Roman" w:hAnsiTheme="majorHAnsi" w:cstheme="majorHAnsi"/>
                <w:b/>
                <w:bCs/>
                <w:color w:val="000000"/>
                <w:sz w:val="16"/>
                <w:szCs w:val="16"/>
                <w:lang w:val="es-CO" w:eastAsia="es-CO"/>
              </w:rPr>
              <w:t xml:space="preserve"> </w:t>
            </w:r>
          </w:p>
        </w:tc>
        <w:tc>
          <w:tcPr>
            <w:tcW w:w="1763" w:type="dxa"/>
          </w:tcPr>
          <w:p w14:paraId="7CFA94B0" w14:textId="77777777" w:rsidR="00955FD3" w:rsidRPr="004C4BE0" w:rsidRDefault="00955FD3" w:rsidP="00187127">
            <w:pPr>
              <w:pStyle w:val="Prrafodelista"/>
              <w:numPr>
                <w:ilvl w:val="0"/>
                <w:numId w:val="13"/>
              </w:numPr>
              <w:tabs>
                <w:tab w:val="left" w:pos="138"/>
              </w:tabs>
              <w:ind w:left="0" w:firstLine="0"/>
              <w:rPr>
                <w:rFonts w:asciiTheme="majorHAnsi" w:eastAsia="Times New Roman" w:hAnsiTheme="majorHAnsi" w:cstheme="majorHAnsi"/>
                <w:color w:val="000000"/>
                <w:sz w:val="16"/>
                <w:szCs w:val="16"/>
                <w:highlight w:val="cyan"/>
                <w:lang w:val="es-CO" w:eastAsia="es-CO"/>
              </w:rPr>
            </w:pPr>
            <w:r w:rsidRPr="004C4BE0">
              <w:rPr>
                <w:rFonts w:asciiTheme="majorHAnsi" w:eastAsia="Times New Roman" w:hAnsiTheme="majorHAnsi" w:cstheme="majorHAnsi"/>
                <w:color w:val="000000"/>
                <w:sz w:val="16"/>
                <w:szCs w:val="16"/>
                <w:highlight w:val="cyan"/>
                <w:lang w:val="es-CO" w:eastAsia="es-CO"/>
              </w:rPr>
              <w:t>Manual del SIG Actualizado.</w:t>
            </w:r>
          </w:p>
          <w:p w14:paraId="342720D8" w14:textId="77777777" w:rsidR="00955FD3" w:rsidRDefault="00955FD3" w:rsidP="00955FD3">
            <w:pPr>
              <w:pStyle w:val="Prrafodelista"/>
              <w:tabs>
                <w:tab w:val="left" w:pos="138"/>
              </w:tabs>
              <w:ind w:left="0" w:firstLine="0"/>
              <w:rPr>
                <w:rFonts w:asciiTheme="majorHAnsi" w:eastAsia="Times New Roman" w:hAnsiTheme="majorHAnsi" w:cstheme="majorHAnsi"/>
                <w:color w:val="000000"/>
                <w:sz w:val="16"/>
                <w:szCs w:val="16"/>
                <w:lang w:val="es-CO" w:eastAsia="es-CO"/>
              </w:rPr>
            </w:pPr>
          </w:p>
          <w:p w14:paraId="5C23D084" w14:textId="77777777" w:rsidR="00274728" w:rsidRPr="00274728" w:rsidRDefault="00274728" w:rsidP="00187127">
            <w:pPr>
              <w:pStyle w:val="Prrafodelista"/>
              <w:numPr>
                <w:ilvl w:val="0"/>
                <w:numId w:val="13"/>
              </w:numPr>
              <w:tabs>
                <w:tab w:val="left" w:pos="138"/>
              </w:tabs>
              <w:ind w:left="11" w:hanging="11"/>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highlight w:val="green"/>
                <w:lang w:val="es-CO" w:eastAsia="es-CO"/>
              </w:rPr>
              <w:t xml:space="preserve">Soportes existentes </w:t>
            </w:r>
          </w:p>
          <w:p w14:paraId="65032DD2" w14:textId="77777777" w:rsidR="00274728" w:rsidRPr="00274728" w:rsidRDefault="00274728" w:rsidP="00274728">
            <w:pPr>
              <w:pStyle w:val="Prrafodelista"/>
              <w:rPr>
                <w:rFonts w:asciiTheme="majorHAnsi" w:eastAsia="Times New Roman" w:hAnsiTheme="majorHAnsi" w:cstheme="majorHAnsi"/>
                <w:color w:val="000000"/>
                <w:sz w:val="16"/>
                <w:szCs w:val="16"/>
                <w:highlight w:val="green"/>
                <w:lang w:val="es-CO" w:eastAsia="es-CO"/>
              </w:rPr>
            </w:pPr>
          </w:p>
          <w:p w14:paraId="4601B146" w14:textId="77777777" w:rsidR="00274728" w:rsidRPr="00274728" w:rsidRDefault="00955FD3" w:rsidP="00187127">
            <w:pPr>
              <w:pStyle w:val="Prrafodelista"/>
              <w:numPr>
                <w:ilvl w:val="0"/>
                <w:numId w:val="14"/>
              </w:numPr>
              <w:tabs>
                <w:tab w:val="left" w:pos="138"/>
              </w:tabs>
              <w:ind w:left="0" w:firstLine="0"/>
              <w:jc w:val="both"/>
              <w:rPr>
                <w:rFonts w:asciiTheme="majorHAnsi" w:eastAsia="Times New Roman" w:hAnsiTheme="majorHAnsi" w:cstheme="majorHAnsi"/>
                <w:color w:val="000000"/>
                <w:sz w:val="16"/>
                <w:szCs w:val="16"/>
                <w:lang w:val="es-CO" w:eastAsia="es-CO"/>
              </w:rPr>
            </w:pPr>
            <w:r w:rsidRPr="00274728">
              <w:rPr>
                <w:rFonts w:asciiTheme="majorHAnsi" w:eastAsia="Times New Roman" w:hAnsiTheme="majorHAnsi" w:cstheme="majorHAnsi"/>
                <w:color w:val="000000"/>
                <w:sz w:val="16"/>
                <w:szCs w:val="16"/>
                <w:highlight w:val="green"/>
                <w:lang w:val="es-CO" w:eastAsia="es-CO"/>
              </w:rPr>
              <w:t xml:space="preserve">Copia de un contrato evidenciando las </w:t>
            </w:r>
            <w:r w:rsidR="00274728" w:rsidRPr="00274728">
              <w:rPr>
                <w:rFonts w:asciiTheme="majorHAnsi" w:eastAsia="Times New Roman" w:hAnsiTheme="majorHAnsi" w:cstheme="majorHAnsi"/>
                <w:color w:val="000000"/>
                <w:sz w:val="16"/>
                <w:szCs w:val="16"/>
                <w:highlight w:val="green"/>
                <w:lang w:val="es-CO" w:eastAsia="es-CO"/>
              </w:rPr>
              <w:t>cláusulas</w:t>
            </w:r>
            <w:r w:rsidRPr="00274728">
              <w:rPr>
                <w:rFonts w:asciiTheme="majorHAnsi" w:eastAsia="Times New Roman" w:hAnsiTheme="majorHAnsi" w:cstheme="majorHAnsi"/>
                <w:color w:val="000000"/>
                <w:sz w:val="16"/>
                <w:szCs w:val="16"/>
                <w:highlight w:val="green"/>
                <w:lang w:val="es-CO" w:eastAsia="es-CO"/>
              </w:rPr>
              <w:t xml:space="preserve"> </w:t>
            </w:r>
          </w:p>
          <w:p w14:paraId="49FA980E" w14:textId="77777777" w:rsidR="00274728" w:rsidRPr="00274728" w:rsidRDefault="00274728" w:rsidP="00187127">
            <w:pPr>
              <w:pStyle w:val="Prrafodelista"/>
              <w:numPr>
                <w:ilvl w:val="0"/>
                <w:numId w:val="14"/>
              </w:numPr>
              <w:tabs>
                <w:tab w:val="left" w:pos="138"/>
              </w:tabs>
              <w:ind w:left="0" w:firstLine="0"/>
              <w:jc w:val="both"/>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highlight w:val="green"/>
                <w:lang w:val="es-CO" w:eastAsia="es-CO"/>
              </w:rPr>
              <w:t>D</w:t>
            </w:r>
            <w:r w:rsidR="00955FD3" w:rsidRPr="00274728">
              <w:rPr>
                <w:rFonts w:asciiTheme="majorHAnsi" w:eastAsia="Times New Roman" w:hAnsiTheme="majorHAnsi" w:cstheme="majorHAnsi"/>
                <w:color w:val="000000"/>
                <w:sz w:val="16"/>
                <w:szCs w:val="16"/>
                <w:highlight w:val="green"/>
                <w:lang w:val="es-CO" w:eastAsia="es-CO"/>
              </w:rPr>
              <w:t xml:space="preserve">ocumentos de </w:t>
            </w:r>
            <w:r w:rsidRPr="00274728">
              <w:rPr>
                <w:rFonts w:asciiTheme="majorHAnsi" w:eastAsia="Times New Roman" w:hAnsiTheme="majorHAnsi" w:cstheme="majorHAnsi"/>
                <w:color w:val="000000"/>
                <w:sz w:val="16"/>
                <w:szCs w:val="16"/>
                <w:highlight w:val="green"/>
                <w:lang w:val="es-CO" w:eastAsia="es-CO"/>
              </w:rPr>
              <w:t>A</w:t>
            </w:r>
            <w:r w:rsidR="00955FD3" w:rsidRPr="00274728">
              <w:rPr>
                <w:rFonts w:asciiTheme="majorHAnsi" w:eastAsia="Times New Roman" w:hAnsiTheme="majorHAnsi" w:cstheme="majorHAnsi"/>
                <w:color w:val="000000"/>
                <w:sz w:val="16"/>
                <w:szCs w:val="16"/>
                <w:highlight w:val="green"/>
                <w:lang w:val="es-CO" w:eastAsia="es-CO"/>
              </w:rPr>
              <w:t>cuerdo de confidencialida</w:t>
            </w:r>
            <w:r>
              <w:rPr>
                <w:rFonts w:asciiTheme="majorHAnsi" w:eastAsia="Times New Roman" w:hAnsiTheme="majorHAnsi" w:cstheme="majorHAnsi"/>
                <w:color w:val="000000"/>
                <w:sz w:val="16"/>
                <w:szCs w:val="16"/>
                <w:lang w:val="es-CO" w:eastAsia="es-CO"/>
              </w:rPr>
              <w:t>d</w:t>
            </w:r>
          </w:p>
          <w:p w14:paraId="2DA831D2" w14:textId="77777777" w:rsidR="007F5968" w:rsidRPr="00274728" w:rsidRDefault="00274728" w:rsidP="00187127">
            <w:pPr>
              <w:pStyle w:val="Prrafodelista"/>
              <w:numPr>
                <w:ilvl w:val="0"/>
                <w:numId w:val="14"/>
              </w:numPr>
              <w:tabs>
                <w:tab w:val="left" w:pos="138"/>
              </w:tabs>
              <w:ind w:left="0" w:firstLine="0"/>
              <w:jc w:val="both"/>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highlight w:val="green"/>
                <w:lang w:val="es-CO" w:eastAsia="es-CO"/>
              </w:rPr>
              <w:t>P</w:t>
            </w:r>
            <w:r w:rsidR="00955FD3" w:rsidRPr="00274728">
              <w:rPr>
                <w:rFonts w:asciiTheme="majorHAnsi" w:eastAsia="Times New Roman" w:hAnsiTheme="majorHAnsi" w:cstheme="majorHAnsi"/>
                <w:color w:val="000000"/>
                <w:sz w:val="16"/>
                <w:szCs w:val="16"/>
                <w:highlight w:val="green"/>
                <w:lang w:val="es-CO" w:eastAsia="es-CO"/>
              </w:rPr>
              <w:t xml:space="preserve">olítica de seguridad 0186 de 2019 </w:t>
            </w:r>
            <w:proofErr w:type="gramStart"/>
            <w:r w:rsidR="00955FD3" w:rsidRPr="00274728">
              <w:rPr>
                <w:rFonts w:asciiTheme="majorHAnsi" w:eastAsia="Times New Roman" w:hAnsiTheme="majorHAnsi" w:cstheme="majorHAnsi"/>
                <w:color w:val="000000"/>
                <w:sz w:val="16"/>
                <w:szCs w:val="16"/>
                <w:highlight w:val="green"/>
                <w:lang w:val="es-CO" w:eastAsia="es-CO"/>
              </w:rPr>
              <w:t>y  las</w:t>
            </w:r>
            <w:proofErr w:type="gramEnd"/>
            <w:r w:rsidR="00955FD3" w:rsidRPr="00274728">
              <w:rPr>
                <w:rFonts w:asciiTheme="majorHAnsi" w:eastAsia="Times New Roman" w:hAnsiTheme="majorHAnsi" w:cstheme="majorHAnsi"/>
                <w:color w:val="000000"/>
                <w:sz w:val="16"/>
                <w:szCs w:val="16"/>
                <w:highlight w:val="green"/>
                <w:lang w:val="es-CO" w:eastAsia="es-CO"/>
              </w:rPr>
              <w:t xml:space="preserve"> </w:t>
            </w:r>
            <w:r w:rsidR="00955FD3" w:rsidRPr="00274728">
              <w:rPr>
                <w:rFonts w:asciiTheme="majorHAnsi" w:eastAsia="Times New Roman" w:hAnsiTheme="majorHAnsi" w:cstheme="majorHAnsi"/>
                <w:color w:val="000000"/>
                <w:sz w:val="16"/>
                <w:szCs w:val="16"/>
                <w:highlight w:val="green"/>
                <w:lang w:val="es-CO" w:eastAsia="es-CO"/>
              </w:rPr>
              <w:lastRenderedPageBreak/>
              <w:t xml:space="preserve">políticas  </w:t>
            </w:r>
            <w:proofErr w:type="spellStart"/>
            <w:r w:rsidR="00955FD3" w:rsidRPr="00274728">
              <w:rPr>
                <w:rFonts w:asciiTheme="majorHAnsi" w:eastAsia="Times New Roman" w:hAnsiTheme="majorHAnsi" w:cstheme="majorHAnsi"/>
                <w:color w:val="000000"/>
                <w:sz w:val="16"/>
                <w:szCs w:val="16"/>
                <w:highlight w:val="green"/>
                <w:lang w:val="es-CO" w:eastAsia="es-CO"/>
              </w:rPr>
              <w:t>especificas</w:t>
            </w:r>
            <w:proofErr w:type="spellEnd"/>
            <w:r w:rsidR="00955FD3" w:rsidRPr="00274728">
              <w:rPr>
                <w:rFonts w:asciiTheme="majorHAnsi" w:eastAsia="Times New Roman" w:hAnsiTheme="majorHAnsi" w:cstheme="majorHAnsi"/>
                <w:color w:val="000000"/>
                <w:sz w:val="16"/>
                <w:szCs w:val="16"/>
                <w:highlight w:val="green"/>
                <w:lang w:val="es-CO" w:eastAsia="es-CO"/>
              </w:rPr>
              <w:t xml:space="preserve"> de seguridad</w:t>
            </w:r>
            <w:r w:rsidR="00955FD3" w:rsidRPr="00274728">
              <w:rPr>
                <w:rFonts w:asciiTheme="majorHAnsi" w:eastAsia="Times New Roman" w:hAnsiTheme="majorHAnsi" w:cstheme="majorHAnsi"/>
                <w:color w:val="000000"/>
                <w:sz w:val="16"/>
                <w:szCs w:val="16"/>
                <w:lang w:val="es-CO" w:eastAsia="es-CO"/>
              </w:rPr>
              <w:t xml:space="preserve"> </w:t>
            </w:r>
          </w:p>
        </w:tc>
      </w:tr>
      <w:tr w:rsidR="00BC0293" w:rsidRPr="00E305B4" w14:paraId="6322BA84" w14:textId="77777777" w:rsidTr="007F5968">
        <w:trPr>
          <w:trHeight w:val="20"/>
        </w:trPr>
        <w:tc>
          <w:tcPr>
            <w:tcW w:w="840" w:type="dxa"/>
            <w:shd w:val="clear" w:color="000000" w:fill="538DD5"/>
            <w:noWrap/>
            <w:vAlign w:val="center"/>
            <w:hideMark/>
          </w:tcPr>
          <w:p w14:paraId="1FB047E6"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lastRenderedPageBreak/>
              <w:t>4.3</w:t>
            </w:r>
          </w:p>
        </w:tc>
        <w:tc>
          <w:tcPr>
            <w:tcW w:w="10057" w:type="dxa"/>
            <w:gridSpan w:val="5"/>
            <w:shd w:val="clear" w:color="000000" w:fill="538DD5"/>
            <w:noWrap/>
            <w:vAlign w:val="center"/>
            <w:hideMark/>
          </w:tcPr>
          <w:p w14:paraId="48C30CE2"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Determinación del alcance del sistema de gestión de seguridad de la información</w:t>
            </w:r>
          </w:p>
        </w:tc>
        <w:tc>
          <w:tcPr>
            <w:tcW w:w="850" w:type="dxa"/>
            <w:shd w:val="clear" w:color="000000" w:fill="538DD5"/>
            <w:noWrap/>
            <w:vAlign w:val="center"/>
            <w:hideMark/>
          </w:tcPr>
          <w:p w14:paraId="7DD21B21"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40%</w:t>
            </w:r>
          </w:p>
        </w:tc>
        <w:tc>
          <w:tcPr>
            <w:tcW w:w="3782" w:type="dxa"/>
            <w:shd w:val="clear" w:color="000000" w:fill="538DD5"/>
            <w:noWrap/>
            <w:vAlign w:val="center"/>
            <w:hideMark/>
          </w:tcPr>
          <w:p w14:paraId="0067C9D0"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28B5D7C0"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7A143810" w14:textId="77777777" w:rsidTr="007F5968">
        <w:trPr>
          <w:trHeight w:val="20"/>
        </w:trPr>
        <w:tc>
          <w:tcPr>
            <w:tcW w:w="840" w:type="dxa"/>
            <w:shd w:val="clear" w:color="auto" w:fill="auto"/>
            <w:vAlign w:val="center"/>
            <w:hideMark/>
          </w:tcPr>
          <w:p w14:paraId="465A330B"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4.3 (a)</w:t>
            </w:r>
          </w:p>
        </w:tc>
        <w:tc>
          <w:tcPr>
            <w:tcW w:w="1854" w:type="dxa"/>
            <w:vMerge w:val="restart"/>
            <w:shd w:val="clear" w:color="auto" w:fill="auto"/>
            <w:vAlign w:val="center"/>
            <w:hideMark/>
          </w:tcPr>
          <w:p w14:paraId="0D6505B7"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organización debe determinar los límites y la aplicabilidad del sistema de gestión de la seguridad de la información para establecer su alcance.</w:t>
            </w:r>
            <w:r w:rsidRPr="00E305B4">
              <w:rPr>
                <w:rFonts w:asciiTheme="majorHAnsi" w:eastAsia="Times New Roman" w:hAnsiTheme="majorHAnsi" w:cstheme="majorHAnsi"/>
                <w:color w:val="000000"/>
                <w:sz w:val="16"/>
                <w:szCs w:val="16"/>
                <w:lang w:val="es-CO" w:eastAsia="es-CO"/>
              </w:rPr>
              <w:br/>
              <w:t>Cuando se determina este alcance, la organización debe considerar:</w:t>
            </w:r>
          </w:p>
        </w:tc>
        <w:tc>
          <w:tcPr>
            <w:tcW w:w="2551" w:type="dxa"/>
            <w:shd w:val="clear" w:color="auto" w:fill="auto"/>
            <w:vAlign w:val="center"/>
            <w:hideMark/>
          </w:tcPr>
          <w:p w14:paraId="7798F35A"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las cuestiones externas e internas referidas en 4.1</w:t>
            </w:r>
          </w:p>
        </w:tc>
        <w:tc>
          <w:tcPr>
            <w:tcW w:w="1368" w:type="dxa"/>
            <w:shd w:val="clear" w:color="000000" w:fill="FFC000"/>
            <w:vAlign w:val="center"/>
            <w:hideMark/>
          </w:tcPr>
          <w:p w14:paraId="41BCB48A"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PARCIAL</w:t>
            </w:r>
          </w:p>
        </w:tc>
        <w:tc>
          <w:tcPr>
            <w:tcW w:w="3246" w:type="dxa"/>
            <w:shd w:val="clear" w:color="auto" w:fill="auto"/>
            <w:vAlign w:val="center"/>
            <w:hideMark/>
          </w:tcPr>
          <w:p w14:paraId="7F66DAE2"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Se cuenta con un alcance a nivel del sistema integrado de gestión y en la </w:t>
            </w:r>
            <w:r w:rsidR="004C4BE0" w:rsidRPr="007F5968">
              <w:rPr>
                <w:rFonts w:asciiTheme="majorHAnsi" w:eastAsia="Times New Roman" w:hAnsiTheme="majorHAnsi" w:cstheme="majorHAnsi"/>
                <w:b/>
                <w:bCs/>
                <w:color w:val="FF0000"/>
                <w:sz w:val="16"/>
                <w:szCs w:val="16"/>
                <w:lang w:val="es-CO" w:eastAsia="es-CO"/>
              </w:rPr>
              <w:t xml:space="preserve">resolución </w:t>
            </w:r>
            <w:r w:rsidR="004C4BE0">
              <w:rPr>
                <w:rFonts w:asciiTheme="majorHAnsi" w:eastAsia="Times New Roman" w:hAnsiTheme="majorHAnsi" w:cstheme="majorHAnsi"/>
                <w:b/>
                <w:bCs/>
                <w:color w:val="FF0000"/>
                <w:sz w:val="16"/>
                <w:szCs w:val="16"/>
                <w:lang w:val="es-CO" w:eastAsia="es-CO"/>
              </w:rPr>
              <w:t>0186 de 2019</w:t>
            </w:r>
            <w:r w:rsidR="004C4BE0" w:rsidRPr="007F5968">
              <w:rPr>
                <w:rFonts w:asciiTheme="majorHAnsi" w:eastAsia="Times New Roman" w:hAnsiTheme="majorHAnsi" w:cstheme="majorHAnsi"/>
                <w:b/>
                <w:bCs/>
                <w:color w:val="FF0000"/>
                <w:sz w:val="16"/>
                <w:szCs w:val="16"/>
                <w:lang w:val="es-CO" w:eastAsia="es-CO"/>
              </w:rPr>
              <w:t xml:space="preserve"> </w:t>
            </w:r>
            <w:r w:rsidRPr="00E305B4">
              <w:rPr>
                <w:rFonts w:asciiTheme="majorHAnsi" w:eastAsia="Times New Roman" w:hAnsiTheme="majorHAnsi" w:cstheme="majorHAnsi"/>
                <w:color w:val="000000"/>
                <w:sz w:val="16"/>
                <w:szCs w:val="16"/>
                <w:lang w:val="es-CO" w:eastAsia="es-CO"/>
              </w:rPr>
              <w:t>que define la política de seguridad de la información, pero se debe complementar con las cuestiones externas e internas pertinentes al sistema de gestión de la seguridad de la información.</w:t>
            </w:r>
          </w:p>
        </w:tc>
        <w:tc>
          <w:tcPr>
            <w:tcW w:w="1038" w:type="dxa"/>
            <w:shd w:val="clear" w:color="000000" w:fill="FFFF00"/>
            <w:noWrap/>
            <w:vAlign w:val="center"/>
            <w:hideMark/>
          </w:tcPr>
          <w:p w14:paraId="27E81E9E"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Repetible</w:t>
            </w:r>
          </w:p>
        </w:tc>
        <w:tc>
          <w:tcPr>
            <w:tcW w:w="850" w:type="dxa"/>
            <w:shd w:val="clear" w:color="auto" w:fill="auto"/>
            <w:noWrap/>
            <w:vAlign w:val="center"/>
            <w:hideMark/>
          </w:tcPr>
          <w:p w14:paraId="0EEB5976" w14:textId="77777777" w:rsidR="007F5968" w:rsidRPr="00E305B4" w:rsidRDefault="004C4BE0"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6</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75D3B0F9"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Actualizar en el manual del sistema integrado de gestión el alcance del sistema de gestión de seguridad de la información y protección de datos personales </w:t>
            </w:r>
          </w:p>
        </w:tc>
        <w:tc>
          <w:tcPr>
            <w:tcW w:w="1763" w:type="dxa"/>
          </w:tcPr>
          <w:p w14:paraId="553927A2" w14:textId="77777777" w:rsidR="007F5968" w:rsidRPr="004C4BE0" w:rsidRDefault="00274728" w:rsidP="00187127">
            <w:pPr>
              <w:pStyle w:val="Prrafodelista"/>
              <w:numPr>
                <w:ilvl w:val="0"/>
                <w:numId w:val="15"/>
              </w:numPr>
              <w:tabs>
                <w:tab w:val="left" w:pos="138"/>
              </w:tabs>
              <w:ind w:left="0" w:firstLine="11"/>
              <w:rPr>
                <w:rFonts w:asciiTheme="majorHAnsi" w:eastAsia="Times New Roman" w:hAnsiTheme="majorHAnsi" w:cstheme="majorHAnsi"/>
                <w:color w:val="000000"/>
                <w:sz w:val="16"/>
                <w:szCs w:val="16"/>
                <w:highlight w:val="cyan"/>
                <w:lang w:val="es-CO" w:eastAsia="es-CO"/>
              </w:rPr>
            </w:pPr>
            <w:r w:rsidRPr="004C4BE0">
              <w:rPr>
                <w:rFonts w:asciiTheme="majorHAnsi" w:eastAsia="Times New Roman" w:hAnsiTheme="majorHAnsi" w:cstheme="majorHAnsi"/>
                <w:color w:val="000000"/>
                <w:sz w:val="16"/>
                <w:szCs w:val="16"/>
                <w:highlight w:val="cyan"/>
                <w:lang w:val="es-CO" w:eastAsia="es-CO"/>
              </w:rPr>
              <w:t>Manual del SIG Actualizado</w:t>
            </w:r>
          </w:p>
          <w:p w14:paraId="0CB25057" w14:textId="77777777" w:rsidR="004C4BE0" w:rsidRPr="004C4BE0" w:rsidRDefault="004C4BE0" w:rsidP="004C4BE0">
            <w:pPr>
              <w:pStyle w:val="Prrafodelista"/>
              <w:ind w:left="11" w:firstLine="0"/>
              <w:rPr>
                <w:rFonts w:asciiTheme="majorHAnsi" w:eastAsia="Times New Roman" w:hAnsiTheme="majorHAnsi" w:cstheme="majorHAnsi"/>
                <w:color w:val="000000"/>
                <w:sz w:val="16"/>
                <w:szCs w:val="16"/>
                <w:highlight w:val="cyan"/>
                <w:lang w:val="es-CO" w:eastAsia="es-CO"/>
              </w:rPr>
            </w:pPr>
          </w:p>
          <w:p w14:paraId="2FC0CEF5" w14:textId="77777777" w:rsidR="004C4BE0" w:rsidRPr="004C4BE0" w:rsidRDefault="004C4BE0" w:rsidP="00187127">
            <w:pPr>
              <w:pStyle w:val="Prrafodelista"/>
              <w:numPr>
                <w:ilvl w:val="0"/>
                <w:numId w:val="15"/>
              </w:numPr>
              <w:tabs>
                <w:tab w:val="left" w:pos="138"/>
              </w:tabs>
              <w:ind w:left="0" w:firstLine="11"/>
              <w:rPr>
                <w:rFonts w:asciiTheme="majorHAnsi" w:eastAsia="Times New Roman" w:hAnsiTheme="majorHAnsi" w:cstheme="majorHAnsi"/>
                <w:color w:val="000000"/>
                <w:sz w:val="16"/>
                <w:szCs w:val="16"/>
                <w:highlight w:val="green"/>
                <w:lang w:val="es-CO" w:eastAsia="es-CO"/>
              </w:rPr>
            </w:pPr>
            <w:r w:rsidRPr="004C4BE0">
              <w:rPr>
                <w:rFonts w:asciiTheme="majorHAnsi" w:eastAsia="Times New Roman" w:hAnsiTheme="majorHAnsi" w:cstheme="majorHAnsi"/>
                <w:color w:val="000000"/>
                <w:sz w:val="16"/>
                <w:szCs w:val="16"/>
                <w:highlight w:val="green"/>
                <w:lang w:val="es-CO" w:eastAsia="es-CO"/>
              </w:rPr>
              <w:t xml:space="preserve"> Actualización de la Resolución 0186 de </w:t>
            </w:r>
            <w:proofErr w:type="gramStart"/>
            <w:r w:rsidRPr="004C4BE0">
              <w:rPr>
                <w:rFonts w:asciiTheme="majorHAnsi" w:eastAsia="Times New Roman" w:hAnsiTheme="majorHAnsi" w:cstheme="majorHAnsi"/>
                <w:color w:val="000000"/>
                <w:sz w:val="16"/>
                <w:szCs w:val="16"/>
                <w:highlight w:val="green"/>
                <w:lang w:val="es-CO" w:eastAsia="es-CO"/>
              </w:rPr>
              <w:t>2019  …</w:t>
            </w:r>
            <w:proofErr w:type="gramEnd"/>
            <w:r w:rsidRPr="004C4BE0">
              <w:rPr>
                <w:rFonts w:asciiTheme="majorHAnsi" w:eastAsia="Times New Roman" w:hAnsiTheme="majorHAnsi" w:cstheme="majorHAnsi"/>
                <w:color w:val="000000"/>
                <w:sz w:val="16"/>
                <w:szCs w:val="16"/>
                <w:highlight w:val="green"/>
                <w:lang w:val="es-CO" w:eastAsia="es-CO"/>
              </w:rPr>
              <w:t xml:space="preserve">……OK, </w:t>
            </w:r>
          </w:p>
          <w:p w14:paraId="12D04D12" w14:textId="77777777" w:rsidR="004C4BE0" w:rsidRPr="004C4BE0" w:rsidRDefault="004C4BE0" w:rsidP="004C4BE0">
            <w:pPr>
              <w:pStyle w:val="Prrafodelista"/>
              <w:rPr>
                <w:rFonts w:asciiTheme="majorHAnsi" w:eastAsia="Times New Roman" w:hAnsiTheme="majorHAnsi" w:cstheme="majorHAnsi"/>
                <w:color w:val="000000"/>
                <w:sz w:val="16"/>
                <w:szCs w:val="16"/>
                <w:highlight w:val="cyan"/>
                <w:lang w:val="es-CO" w:eastAsia="es-CO"/>
              </w:rPr>
            </w:pPr>
          </w:p>
          <w:p w14:paraId="5C296AA1" w14:textId="77777777" w:rsidR="004C4BE0" w:rsidRPr="004C4BE0" w:rsidRDefault="004C4BE0" w:rsidP="00187127">
            <w:pPr>
              <w:pStyle w:val="Prrafodelista"/>
              <w:numPr>
                <w:ilvl w:val="0"/>
                <w:numId w:val="15"/>
              </w:numPr>
              <w:tabs>
                <w:tab w:val="left" w:pos="138"/>
              </w:tabs>
              <w:ind w:left="0" w:firstLine="11"/>
              <w:rPr>
                <w:rFonts w:asciiTheme="majorHAnsi" w:eastAsia="Times New Roman" w:hAnsiTheme="majorHAnsi" w:cstheme="majorHAnsi"/>
                <w:color w:val="000000"/>
                <w:sz w:val="16"/>
                <w:szCs w:val="16"/>
                <w:highlight w:val="cyan"/>
                <w:lang w:val="es-CO" w:eastAsia="es-CO"/>
              </w:rPr>
            </w:pPr>
            <w:r w:rsidRPr="004C4BE0">
              <w:rPr>
                <w:rFonts w:asciiTheme="majorHAnsi" w:eastAsia="Times New Roman" w:hAnsiTheme="majorHAnsi" w:cstheme="majorHAnsi"/>
                <w:color w:val="000000"/>
                <w:sz w:val="16"/>
                <w:szCs w:val="16"/>
                <w:highlight w:val="cyan"/>
                <w:lang w:val="es-CO" w:eastAsia="es-CO"/>
              </w:rPr>
              <w:t xml:space="preserve">Pendiente Protección de Datos </w:t>
            </w:r>
          </w:p>
          <w:p w14:paraId="3BEC7A14" w14:textId="77777777" w:rsidR="004C4BE0" w:rsidRPr="004C4BE0" w:rsidRDefault="004C4BE0" w:rsidP="004C4BE0">
            <w:pPr>
              <w:pStyle w:val="Prrafodelista"/>
              <w:ind w:left="720" w:firstLine="0"/>
              <w:rPr>
                <w:rFonts w:asciiTheme="majorHAnsi" w:eastAsia="Times New Roman" w:hAnsiTheme="majorHAnsi" w:cstheme="majorHAnsi"/>
                <w:color w:val="000000"/>
                <w:sz w:val="16"/>
                <w:szCs w:val="16"/>
                <w:highlight w:val="cyan"/>
                <w:lang w:val="es-CO" w:eastAsia="es-CO"/>
              </w:rPr>
            </w:pPr>
          </w:p>
        </w:tc>
      </w:tr>
      <w:tr w:rsidR="00274728" w:rsidRPr="00E305B4" w14:paraId="15C64EB0" w14:textId="77777777" w:rsidTr="007F5968">
        <w:trPr>
          <w:trHeight w:val="20"/>
        </w:trPr>
        <w:tc>
          <w:tcPr>
            <w:tcW w:w="840" w:type="dxa"/>
            <w:shd w:val="clear" w:color="auto" w:fill="auto"/>
            <w:vAlign w:val="center"/>
            <w:hideMark/>
          </w:tcPr>
          <w:p w14:paraId="74B7C61B"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4.3 (b)</w:t>
            </w:r>
          </w:p>
        </w:tc>
        <w:tc>
          <w:tcPr>
            <w:tcW w:w="1854" w:type="dxa"/>
            <w:vMerge/>
            <w:vAlign w:val="center"/>
            <w:hideMark/>
          </w:tcPr>
          <w:p w14:paraId="4937E33C"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00153E28"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los requisitos referidos en 4.2</w:t>
            </w:r>
          </w:p>
        </w:tc>
        <w:tc>
          <w:tcPr>
            <w:tcW w:w="1368" w:type="dxa"/>
            <w:shd w:val="clear" w:color="000000" w:fill="FFC000"/>
            <w:vAlign w:val="center"/>
            <w:hideMark/>
          </w:tcPr>
          <w:p w14:paraId="49FE3157"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PARCIAL</w:t>
            </w:r>
          </w:p>
        </w:tc>
        <w:tc>
          <w:tcPr>
            <w:tcW w:w="3246" w:type="dxa"/>
            <w:shd w:val="clear" w:color="auto" w:fill="auto"/>
            <w:vAlign w:val="center"/>
            <w:hideMark/>
          </w:tcPr>
          <w:p w14:paraId="37B7A1E9"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tienen identificados los interesados al nivel del sistema integrado de gestión, pero se debe revisar su pertinencia con el sistema de gestión de seguridad de la información</w:t>
            </w:r>
          </w:p>
        </w:tc>
        <w:tc>
          <w:tcPr>
            <w:tcW w:w="1038" w:type="dxa"/>
            <w:shd w:val="clear" w:color="000000" w:fill="FFFF00"/>
            <w:noWrap/>
            <w:vAlign w:val="center"/>
            <w:hideMark/>
          </w:tcPr>
          <w:p w14:paraId="1ACB3DD1"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Repetible</w:t>
            </w:r>
          </w:p>
        </w:tc>
        <w:tc>
          <w:tcPr>
            <w:tcW w:w="850" w:type="dxa"/>
            <w:shd w:val="clear" w:color="auto" w:fill="auto"/>
            <w:noWrap/>
            <w:vAlign w:val="center"/>
            <w:hideMark/>
          </w:tcPr>
          <w:p w14:paraId="020F2A0F" w14:textId="77777777" w:rsidR="007F5968" w:rsidRPr="00E305B4" w:rsidRDefault="004C4BE0"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6</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1ACD3E98"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Actualizar en el manual del sistema integrado de gestión el alcance con las necesidades y expectativas de las partes interesadas en materia de seguridad de la información.</w:t>
            </w:r>
          </w:p>
        </w:tc>
        <w:tc>
          <w:tcPr>
            <w:tcW w:w="1763" w:type="dxa"/>
          </w:tcPr>
          <w:p w14:paraId="4EE70917" w14:textId="77777777" w:rsidR="004C4BE0" w:rsidRPr="004C4BE0" w:rsidRDefault="004C4BE0" w:rsidP="00187127">
            <w:pPr>
              <w:pStyle w:val="Prrafodelista"/>
              <w:numPr>
                <w:ilvl w:val="0"/>
                <w:numId w:val="16"/>
              </w:numPr>
              <w:tabs>
                <w:tab w:val="left" w:pos="138"/>
              </w:tabs>
              <w:ind w:left="-4" w:firstLine="4"/>
              <w:rPr>
                <w:rFonts w:asciiTheme="majorHAnsi" w:eastAsia="Times New Roman" w:hAnsiTheme="majorHAnsi" w:cstheme="majorHAnsi"/>
                <w:color w:val="000000"/>
                <w:sz w:val="16"/>
                <w:szCs w:val="16"/>
                <w:highlight w:val="cyan"/>
                <w:lang w:val="es-CO" w:eastAsia="es-CO"/>
              </w:rPr>
            </w:pPr>
            <w:r w:rsidRPr="004C4BE0">
              <w:rPr>
                <w:rFonts w:asciiTheme="majorHAnsi" w:eastAsia="Times New Roman" w:hAnsiTheme="majorHAnsi" w:cstheme="majorHAnsi"/>
                <w:color w:val="000000"/>
                <w:sz w:val="16"/>
                <w:szCs w:val="16"/>
                <w:highlight w:val="cyan"/>
                <w:lang w:val="es-CO" w:eastAsia="es-CO"/>
              </w:rPr>
              <w:t>Manual del SIG Actualizado</w:t>
            </w:r>
          </w:p>
          <w:p w14:paraId="105486DC"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71EFC321" w14:textId="77777777" w:rsidTr="007F5968">
        <w:trPr>
          <w:trHeight w:val="20"/>
        </w:trPr>
        <w:tc>
          <w:tcPr>
            <w:tcW w:w="840" w:type="dxa"/>
            <w:shd w:val="clear" w:color="auto" w:fill="auto"/>
            <w:vAlign w:val="center"/>
            <w:hideMark/>
          </w:tcPr>
          <w:p w14:paraId="73C56238"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4.3 (c)</w:t>
            </w:r>
          </w:p>
        </w:tc>
        <w:tc>
          <w:tcPr>
            <w:tcW w:w="1854" w:type="dxa"/>
            <w:vMerge/>
            <w:vAlign w:val="center"/>
            <w:hideMark/>
          </w:tcPr>
          <w:p w14:paraId="7655E598"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5855DDBF"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las interfaces y dependencias entre las actividades realizadas por la organización, y las que realizan otras organizaciones.</w:t>
            </w:r>
          </w:p>
        </w:tc>
        <w:tc>
          <w:tcPr>
            <w:tcW w:w="1368" w:type="dxa"/>
            <w:shd w:val="clear" w:color="000000" w:fill="FFC000"/>
            <w:vAlign w:val="center"/>
            <w:hideMark/>
          </w:tcPr>
          <w:p w14:paraId="7128C705"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PARCIAL</w:t>
            </w:r>
          </w:p>
        </w:tc>
        <w:tc>
          <w:tcPr>
            <w:tcW w:w="3246" w:type="dxa"/>
            <w:shd w:val="clear" w:color="auto" w:fill="auto"/>
            <w:vAlign w:val="center"/>
            <w:hideMark/>
          </w:tcPr>
          <w:p w14:paraId="4467F477"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tienen identificados las interfaces y dependencias entre las actividades realizadas por la organización en el sistema de integrado de gestión, pero se debe revisar su pertinencia con el sistema de gestión de seguridad de la información</w:t>
            </w:r>
          </w:p>
        </w:tc>
        <w:tc>
          <w:tcPr>
            <w:tcW w:w="1038" w:type="dxa"/>
            <w:shd w:val="clear" w:color="000000" w:fill="FFFF00"/>
            <w:noWrap/>
            <w:vAlign w:val="center"/>
            <w:hideMark/>
          </w:tcPr>
          <w:p w14:paraId="631A5790"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Repetible</w:t>
            </w:r>
          </w:p>
        </w:tc>
        <w:tc>
          <w:tcPr>
            <w:tcW w:w="850" w:type="dxa"/>
            <w:shd w:val="clear" w:color="auto" w:fill="auto"/>
            <w:noWrap/>
            <w:vAlign w:val="center"/>
            <w:hideMark/>
          </w:tcPr>
          <w:p w14:paraId="049E2375"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40%</w:t>
            </w:r>
          </w:p>
        </w:tc>
        <w:tc>
          <w:tcPr>
            <w:tcW w:w="3782" w:type="dxa"/>
            <w:shd w:val="clear" w:color="auto" w:fill="auto"/>
            <w:vAlign w:val="center"/>
            <w:hideMark/>
          </w:tcPr>
          <w:p w14:paraId="41C2E172"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Actualizar en el manual del sistema integrado de gestión el alcance con las interfaces entre las actividades realizadas con otras organizaciones</w:t>
            </w:r>
          </w:p>
        </w:tc>
        <w:tc>
          <w:tcPr>
            <w:tcW w:w="1763" w:type="dxa"/>
          </w:tcPr>
          <w:p w14:paraId="6C4FB71E" w14:textId="77777777" w:rsidR="004C4BE0" w:rsidRPr="004C4BE0" w:rsidRDefault="004C4BE0" w:rsidP="00187127">
            <w:pPr>
              <w:pStyle w:val="Prrafodelista"/>
              <w:numPr>
                <w:ilvl w:val="0"/>
                <w:numId w:val="17"/>
              </w:numPr>
              <w:tabs>
                <w:tab w:val="left" w:pos="138"/>
              </w:tabs>
              <w:ind w:left="0" w:firstLine="0"/>
              <w:rPr>
                <w:rFonts w:asciiTheme="majorHAnsi" w:eastAsia="Times New Roman" w:hAnsiTheme="majorHAnsi" w:cstheme="majorHAnsi"/>
                <w:color w:val="000000"/>
                <w:sz w:val="16"/>
                <w:szCs w:val="16"/>
                <w:highlight w:val="cyan"/>
                <w:lang w:val="es-CO" w:eastAsia="es-CO"/>
              </w:rPr>
            </w:pPr>
            <w:r w:rsidRPr="004C4BE0">
              <w:rPr>
                <w:rFonts w:asciiTheme="majorHAnsi" w:eastAsia="Times New Roman" w:hAnsiTheme="majorHAnsi" w:cstheme="majorHAnsi"/>
                <w:color w:val="000000"/>
                <w:sz w:val="16"/>
                <w:szCs w:val="16"/>
                <w:highlight w:val="cyan"/>
                <w:lang w:val="es-CO" w:eastAsia="es-CO"/>
              </w:rPr>
              <w:t>Manual del SIG Actualizado</w:t>
            </w:r>
          </w:p>
          <w:p w14:paraId="4930D888" w14:textId="77777777" w:rsidR="007F5968" w:rsidRPr="00E305B4" w:rsidRDefault="007F5968" w:rsidP="004C4BE0">
            <w:pPr>
              <w:rPr>
                <w:rFonts w:asciiTheme="majorHAnsi" w:eastAsia="Times New Roman" w:hAnsiTheme="majorHAnsi" w:cstheme="majorHAnsi"/>
                <w:color w:val="000000"/>
                <w:sz w:val="16"/>
                <w:szCs w:val="16"/>
                <w:lang w:val="es-CO" w:eastAsia="es-CO"/>
              </w:rPr>
            </w:pPr>
          </w:p>
        </w:tc>
      </w:tr>
      <w:tr w:rsidR="00BC0293" w:rsidRPr="00E305B4" w14:paraId="5C0A88E1" w14:textId="77777777" w:rsidTr="007F5968">
        <w:trPr>
          <w:trHeight w:val="20"/>
        </w:trPr>
        <w:tc>
          <w:tcPr>
            <w:tcW w:w="840" w:type="dxa"/>
            <w:shd w:val="clear" w:color="000000" w:fill="538DD5"/>
            <w:noWrap/>
            <w:vAlign w:val="center"/>
            <w:hideMark/>
          </w:tcPr>
          <w:p w14:paraId="161DAE25"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4.4</w:t>
            </w:r>
          </w:p>
        </w:tc>
        <w:tc>
          <w:tcPr>
            <w:tcW w:w="10057" w:type="dxa"/>
            <w:gridSpan w:val="5"/>
            <w:shd w:val="clear" w:color="000000" w:fill="538DD5"/>
            <w:noWrap/>
            <w:vAlign w:val="center"/>
            <w:hideMark/>
          </w:tcPr>
          <w:p w14:paraId="0BAE7D50"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Sistema de Gestión de Seguridad de la Información</w:t>
            </w:r>
          </w:p>
        </w:tc>
        <w:tc>
          <w:tcPr>
            <w:tcW w:w="850" w:type="dxa"/>
            <w:shd w:val="clear" w:color="000000" w:fill="538DD5"/>
            <w:noWrap/>
            <w:vAlign w:val="center"/>
            <w:hideMark/>
          </w:tcPr>
          <w:p w14:paraId="400A1E8F" w14:textId="77777777" w:rsidR="007F5968" w:rsidRPr="00E305B4" w:rsidRDefault="004C4BE0" w:rsidP="000F099B">
            <w:pPr>
              <w:jc w:val="right"/>
              <w:rPr>
                <w:rFonts w:asciiTheme="majorHAnsi" w:eastAsia="Times New Roman" w:hAnsiTheme="majorHAnsi" w:cstheme="majorHAnsi"/>
                <w:b/>
                <w:bCs/>
                <w:color w:val="FFFFFF"/>
                <w:sz w:val="16"/>
                <w:szCs w:val="16"/>
                <w:lang w:val="es-CO" w:eastAsia="es-CO"/>
              </w:rPr>
            </w:pPr>
            <w:r>
              <w:rPr>
                <w:rFonts w:asciiTheme="majorHAnsi" w:eastAsia="Times New Roman" w:hAnsiTheme="majorHAnsi" w:cstheme="majorHAnsi"/>
                <w:b/>
                <w:bCs/>
                <w:color w:val="FFFFFF"/>
                <w:sz w:val="16"/>
                <w:szCs w:val="16"/>
                <w:lang w:val="es-CO" w:eastAsia="es-CO"/>
              </w:rPr>
              <w:t>4</w:t>
            </w:r>
            <w:r w:rsidR="007F5968" w:rsidRPr="00E305B4">
              <w:rPr>
                <w:rFonts w:asciiTheme="majorHAnsi" w:eastAsia="Times New Roman" w:hAnsiTheme="majorHAnsi" w:cstheme="majorHAnsi"/>
                <w:b/>
                <w:bCs/>
                <w:color w:val="FFFFFF"/>
                <w:sz w:val="16"/>
                <w:szCs w:val="16"/>
                <w:lang w:val="es-CO" w:eastAsia="es-CO"/>
              </w:rPr>
              <w:t>0%</w:t>
            </w:r>
          </w:p>
        </w:tc>
        <w:tc>
          <w:tcPr>
            <w:tcW w:w="3782" w:type="dxa"/>
            <w:shd w:val="clear" w:color="000000" w:fill="538DD5"/>
            <w:noWrap/>
            <w:vAlign w:val="center"/>
            <w:hideMark/>
          </w:tcPr>
          <w:p w14:paraId="5F432C23"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2F0132E7" w14:textId="77777777" w:rsidR="007F5968" w:rsidRPr="00E305B4" w:rsidRDefault="007F5968" w:rsidP="004C4BE0">
            <w:pPr>
              <w:rPr>
                <w:rFonts w:asciiTheme="majorHAnsi" w:eastAsia="Times New Roman" w:hAnsiTheme="majorHAnsi" w:cstheme="majorHAnsi"/>
                <w:b/>
                <w:bCs/>
                <w:color w:val="FFFFFF"/>
                <w:sz w:val="16"/>
                <w:szCs w:val="16"/>
                <w:lang w:val="es-CO" w:eastAsia="es-CO"/>
              </w:rPr>
            </w:pPr>
          </w:p>
        </w:tc>
      </w:tr>
      <w:tr w:rsidR="00274728" w:rsidRPr="00E305B4" w14:paraId="427AC4CC" w14:textId="77777777" w:rsidTr="007F5968">
        <w:trPr>
          <w:trHeight w:val="20"/>
        </w:trPr>
        <w:tc>
          <w:tcPr>
            <w:tcW w:w="840" w:type="dxa"/>
            <w:shd w:val="clear" w:color="auto" w:fill="auto"/>
            <w:vAlign w:val="center"/>
            <w:hideMark/>
          </w:tcPr>
          <w:p w14:paraId="1B320C16"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4.4</w:t>
            </w:r>
          </w:p>
        </w:tc>
        <w:tc>
          <w:tcPr>
            <w:tcW w:w="1854" w:type="dxa"/>
            <w:shd w:val="clear" w:color="auto" w:fill="auto"/>
            <w:vAlign w:val="center"/>
            <w:hideMark/>
          </w:tcPr>
          <w:p w14:paraId="6A06747E"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Sistema de Gestión de Seguridad de la Información</w:t>
            </w:r>
          </w:p>
        </w:tc>
        <w:tc>
          <w:tcPr>
            <w:tcW w:w="2551" w:type="dxa"/>
            <w:shd w:val="clear" w:color="auto" w:fill="auto"/>
            <w:vAlign w:val="center"/>
            <w:hideMark/>
          </w:tcPr>
          <w:p w14:paraId="14AFF113"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organización debe establecer, implementar, mantener y mejorar continuamente un sistema de gestión de la seguridad de la información, de acuerdo con los requisitos de esta Norma Internacional.</w:t>
            </w:r>
          </w:p>
        </w:tc>
        <w:tc>
          <w:tcPr>
            <w:tcW w:w="1368" w:type="dxa"/>
            <w:shd w:val="clear" w:color="000000" w:fill="FFC000"/>
            <w:vAlign w:val="center"/>
            <w:hideMark/>
          </w:tcPr>
          <w:p w14:paraId="3CC01D93"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PARCIAL</w:t>
            </w:r>
          </w:p>
        </w:tc>
        <w:tc>
          <w:tcPr>
            <w:tcW w:w="3246" w:type="dxa"/>
            <w:shd w:val="clear" w:color="auto" w:fill="auto"/>
            <w:vAlign w:val="center"/>
            <w:hideMark/>
          </w:tcPr>
          <w:p w14:paraId="313B68AB"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En la resolución </w:t>
            </w:r>
            <w:r w:rsidR="004C4BE0">
              <w:rPr>
                <w:rFonts w:asciiTheme="majorHAnsi" w:eastAsia="Times New Roman" w:hAnsiTheme="majorHAnsi" w:cstheme="majorHAnsi"/>
                <w:color w:val="000000"/>
                <w:sz w:val="16"/>
                <w:szCs w:val="16"/>
                <w:lang w:val="es-CO" w:eastAsia="es-CO"/>
              </w:rPr>
              <w:t>0186</w:t>
            </w:r>
            <w:r w:rsidRPr="00E305B4">
              <w:rPr>
                <w:rFonts w:asciiTheme="majorHAnsi" w:eastAsia="Times New Roman" w:hAnsiTheme="majorHAnsi" w:cstheme="majorHAnsi"/>
                <w:color w:val="000000"/>
                <w:sz w:val="16"/>
                <w:szCs w:val="16"/>
                <w:lang w:val="es-CO" w:eastAsia="es-CO"/>
              </w:rPr>
              <w:t xml:space="preserve"> se documenta la necesidad de establecer un sistema de gestión de la seguridad de la información SGSI, pero actualmente no existe un manual que de los lineamientos de dicho sistema.</w:t>
            </w:r>
          </w:p>
        </w:tc>
        <w:tc>
          <w:tcPr>
            <w:tcW w:w="1038" w:type="dxa"/>
            <w:shd w:val="clear" w:color="000000" w:fill="F79646"/>
            <w:noWrap/>
            <w:vAlign w:val="center"/>
            <w:hideMark/>
          </w:tcPr>
          <w:p w14:paraId="4F2B40E9"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Inicial</w:t>
            </w:r>
          </w:p>
        </w:tc>
        <w:tc>
          <w:tcPr>
            <w:tcW w:w="850" w:type="dxa"/>
            <w:shd w:val="clear" w:color="auto" w:fill="auto"/>
            <w:noWrap/>
            <w:vAlign w:val="center"/>
            <w:hideMark/>
          </w:tcPr>
          <w:p w14:paraId="49660DD9" w14:textId="77777777" w:rsidR="007F5968" w:rsidRPr="00E305B4" w:rsidRDefault="004C4BE0"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4</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6B2E2A8D"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Actualizar en el manual del sistema integrado de gestión todos los aspectos necesarios para el establecimiento del SGSI</w:t>
            </w:r>
          </w:p>
        </w:tc>
        <w:tc>
          <w:tcPr>
            <w:tcW w:w="1763" w:type="dxa"/>
          </w:tcPr>
          <w:p w14:paraId="65235290" w14:textId="77777777" w:rsidR="004C4BE0" w:rsidRPr="004C4BE0" w:rsidRDefault="004C4BE0" w:rsidP="00187127">
            <w:pPr>
              <w:pStyle w:val="Prrafodelista"/>
              <w:numPr>
                <w:ilvl w:val="0"/>
                <w:numId w:val="18"/>
              </w:numPr>
              <w:tabs>
                <w:tab w:val="left" w:pos="138"/>
              </w:tabs>
              <w:ind w:left="0" w:firstLine="0"/>
              <w:rPr>
                <w:rFonts w:asciiTheme="majorHAnsi" w:eastAsia="Times New Roman" w:hAnsiTheme="majorHAnsi" w:cstheme="majorHAnsi"/>
                <w:color w:val="000000"/>
                <w:sz w:val="16"/>
                <w:szCs w:val="16"/>
                <w:highlight w:val="cyan"/>
                <w:lang w:val="es-CO" w:eastAsia="es-CO"/>
              </w:rPr>
            </w:pPr>
            <w:r w:rsidRPr="004C4BE0">
              <w:rPr>
                <w:rFonts w:asciiTheme="majorHAnsi" w:eastAsia="Times New Roman" w:hAnsiTheme="majorHAnsi" w:cstheme="majorHAnsi"/>
                <w:color w:val="000000"/>
                <w:sz w:val="16"/>
                <w:szCs w:val="16"/>
                <w:highlight w:val="cyan"/>
                <w:lang w:val="es-CO" w:eastAsia="es-CO"/>
              </w:rPr>
              <w:t>Manual del SIG Actualizado</w:t>
            </w:r>
          </w:p>
          <w:p w14:paraId="17235B85" w14:textId="77777777" w:rsidR="007F5968" w:rsidRPr="00E305B4" w:rsidRDefault="007F5968" w:rsidP="004C4BE0">
            <w:pPr>
              <w:rPr>
                <w:rFonts w:asciiTheme="majorHAnsi" w:eastAsia="Times New Roman" w:hAnsiTheme="majorHAnsi" w:cstheme="majorHAnsi"/>
                <w:color w:val="000000"/>
                <w:sz w:val="16"/>
                <w:szCs w:val="16"/>
                <w:lang w:val="es-CO" w:eastAsia="es-CO"/>
              </w:rPr>
            </w:pPr>
          </w:p>
        </w:tc>
      </w:tr>
      <w:tr w:rsidR="00BC0293" w:rsidRPr="00E305B4" w14:paraId="43D50F33" w14:textId="77777777" w:rsidTr="007F5968">
        <w:trPr>
          <w:trHeight w:val="20"/>
        </w:trPr>
        <w:tc>
          <w:tcPr>
            <w:tcW w:w="840" w:type="dxa"/>
            <w:shd w:val="clear" w:color="000000" w:fill="538DD5"/>
            <w:noWrap/>
            <w:vAlign w:val="center"/>
            <w:hideMark/>
          </w:tcPr>
          <w:p w14:paraId="7ADCAAE2"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5</w:t>
            </w:r>
          </w:p>
        </w:tc>
        <w:tc>
          <w:tcPr>
            <w:tcW w:w="10057" w:type="dxa"/>
            <w:gridSpan w:val="5"/>
            <w:shd w:val="clear" w:color="000000" w:fill="538DD5"/>
            <w:noWrap/>
            <w:vAlign w:val="center"/>
            <w:hideMark/>
          </w:tcPr>
          <w:p w14:paraId="7E94AC10"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LIDERAZGO</w:t>
            </w:r>
          </w:p>
        </w:tc>
        <w:tc>
          <w:tcPr>
            <w:tcW w:w="850" w:type="dxa"/>
            <w:shd w:val="clear" w:color="000000" w:fill="538DD5"/>
            <w:noWrap/>
            <w:vAlign w:val="center"/>
            <w:hideMark/>
          </w:tcPr>
          <w:p w14:paraId="2899EDB5"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54%</w:t>
            </w:r>
          </w:p>
        </w:tc>
        <w:tc>
          <w:tcPr>
            <w:tcW w:w="3782" w:type="dxa"/>
            <w:shd w:val="clear" w:color="000000" w:fill="538DD5"/>
            <w:noWrap/>
            <w:vAlign w:val="center"/>
            <w:hideMark/>
          </w:tcPr>
          <w:p w14:paraId="3440F107"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3A6B5CD4"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BC0293" w:rsidRPr="00E305B4" w14:paraId="6EED9097" w14:textId="77777777" w:rsidTr="007F5968">
        <w:trPr>
          <w:trHeight w:val="20"/>
        </w:trPr>
        <w:tc>
          <w:tcPr>
            <w:tcW w:w="840" w:type="dxa"/>
            <w:shd w:val="clear" w:color="000000" w:fill="538DD5"/>
            <w:noWrap/>
            <w:vAlign w:val="center"/>
            <w:hideMark/>
          </w:tcPr>
          <w:p w14:paraId="5FB4FDBA"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5.1</w:t>
            </w:r>
          </w:p>
        </w:tc>
        <w:tc>
          <w:tcPr>
            <w:tcW w:w="10057" w:type="dxa"/>
            <w:gridSpan w:val="5"/>
            <w:shd w:val="clear" w:color="000000" w:fill="538DD5"/>
            <w:noWrap/>
            <w:vAlign w:val="center"/>
            <w:hideMark/>
          </w:tcPr>
          <w:p w14:paraId="3D76BF7B"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Liderazgo y compromiso</w:t>
            </w:r>
          </w:p>
        </w:tc>
        <w:tc>
          <w:tcPr>
            <w:tcW w:w="850" w:type="dxa"/>
            <w:shd w:val="clear" w:color="000000" w:fill="538DD5"/>
            <w:noWrap/>
            <w:vAlign w:val="center"/>
            <w:hideMark/>
          </w:tcPr>
          <w:p w14:paraId="0F9CB5A4"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45%</w:t>
            </w:r>
          </w:p>
        </w:tc>
        <w:tc>
          <w:tcPr>
            <w:tcW w:w="3782" w:type="dxa"/>
            <w:shd w:val="clear" w:color="000000" w:fill="538DD5"/>
            <w:noWrap/>
            <w:vAlign w:val="center"/>
            <w:hideMark/>
          </w:tcPr>
          <w:p w14:paraId="09F113E5"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0094FE54"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1C4228D1" w14:textId="77777777" w:rsidTr="007F5968">
        <w:trPr>
          <w:trHeight w:val="20"/>
        </w:trPr>
        <w:tc>
          <w:tcPr>
            <w:tcW w:w="840" w:type="dxa"/>
            <w:shd w:val="clear" w:color="auto" w:fill="auto"/>
            <w:vAlign w:val="center"/>
            <w:hideMark/>
          </w:tcPr>
          <w:p w14:paraId="2AD0D3EA"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5.1 (a)</w:t>
            </w:r>
          </w:p>
        </w:tc>
        <w:tc>
          <w:tcPr>
            <w:tcW w:w="1854" w:type="dxa"/>
            <w:vMerge w:val="restart"/>
            <w:shd w:val="clear" w:color="auto" w:fill="auto"/>
            <w:vAlign w:val="center"/>
            <w:hideMark/>
          </w:tcPr>
          <w:p w14:paraId="285E7BF8"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alta dirección debe demostrar liderazgo y compromiso con respecto al sistema de gestión de la seguridad de la información:</w:t>
            </w:r>
          </w:p>
        </w:tc>
        <w:tc>
          <w:tcPr>
            <w:tcW w:w="2551" w:type="dxa"/>
            <w:shd w:val="clear" w:color="auto" w:fill="auto"/>
            <w:vAlign w:val="center"/>
            <w:hideMark/>
          </w:tcPr>
          <w:p w14:paraId="4BC6A944"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asegurando que se establezcan la política de la seguridad de la información y los objetivos de la seguridad de la información, y que estos sean compatibles con la dirección estratégica de la organización</w:t>
            </w:r>
          </w:p>
        </w:tc>
        <w:tc>
          <w:tcPr>
            <w:tcW w:w="1368" w:type="dxa"/>
            <w:shd w:val="clear" w:color="000000" w:fill="008000"/>
            <w:vAlign w:val="center"/>
            <w:hideMark/>
          </w:tcPr>
          <w:p w14:paraId="1F587D2E"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20C721A2"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En la Resolución </w:t>
            </w:r>
            <w:r w:rsidR="004C4BE0">
              <w:rPr>
                <w:rFonts w:asciiTheme="majorHAnsi" w:eastAsia="Times New Roman" w:hAnsiTheme="majorHAnsi" w:cstheme="majorHAnsi"/>
                <w:color w:val="000000"/>
                <w:sz w:val="16"/>
                <w:szCs w:val="16"/>
                <w:lang w:val="es-CO" w:eastAsia="es-CO"/>
              </w:rPr>
              <w:t>0186 de 2019</w:t>
            </w:r>
            <w:r w:rsidRPr="00E305B4">
              <w:rPr>
                <w:rFonts w:asciiTheme="majorHAnsi" w:eastAsia="Times New Roman" w:hAnsiTheme="majorHAnsi" w:cstheme="majorHAnsi"/>
                <w:color w:val="000000"/>
                <w:sz w:val="16"/>
                <w:szCs w:val="16"/>
                <w:lang w:val="es-CO" w:eastAsia="es-CO"/>
              </w:rPr>
              <w:t>,</w:t>
            </w:r>
            <w:r w:rsidR="004C4BE0">
              <w:rPr>
                <w:rFonts w:asciiTheme="majorHAnsi" w:eastAsia="Times New Roman" w:hAnsiTheme="majorHAnsi" w:cstheme="majorHAnsi"/>
                <w:color w:val="000000"/>
                <w:sz w:val="16"/>
                <w:szCs w:val="16"/>
                <w:lang w:val="es-CO" w:eastAsia="es-CO"/>
              </w:rPr>
              <w:t xml:space="preserve"> la Directora G</w:t>
            </w:r>
            <w:r w:rsidRPr="00E305B4">
              <w:rPr>
                <w:rFonts w:asciiTheme="majorHAnsi" w:eastAsia="Times New Roman" w:hAnsiTheme="majorHAnsi" w:cstheme="majorHAnsi"/>
                <w:color w:val="000000"/>
                <w:sz w:val="16"/>
                <w:szCs w:val="16"/>
                <w:lang w:val="es-CO" w:eastAsia="es-CO"/>
              </w:rPr>
              <w:t>eneral aprueba la actualización de la política de seguridad de la información, la cual incluye: objetivos de la seguridad de la información, alcance, políticas específicas, responsables.</w:t>
            </w:r>
          </w:p>
        </w:tc>
        <w:tc>
          <w:tcPr>
            <w:tcW w:w="1038" w:type="dxa"/>
            <w:shd w:val="clear" w:color="000000" w:fill="00B0F0"/>
            <w:noWrap/>
            <w:vAlign w:val="center"/>
            <w:hideMark/>
          </w:tcPr>
          <w:p w14:paraId="1262081D"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55DE0638" w14:textId="77777777" w:rsidR="007F5968" w:rsidRPr="00E305B4" w:rsidRDefault="00411900" w:rsidP="00411900">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80</w:t>
            </w:r>
            <w:r w:rsidR="007F5968"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41A16956"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Actualizar en el manual del sistema integrado de gestión la política y objetivos de seguridad de la información y protección de datos personales</w:t>
            </w:r>
          </w:p>
        </w:tc>
        <w:tc>
          <w:tcPr>
            <w:tcW w:w="1763" w:type="dxa"/>
          </w:tcPr>
          <w:p w14:paraId="6852DDA9" w14:textId="77777777" w:rsidR="00411900" w:rsidRPr="004C4BE0" w:rsidRDefault="00411900" w:rsidP="00187127">
            <w:pPr>
              <w:pStyle w:val="Prrafodelista"/>
              <w:numPr>
                <w:ilvl w:val="0"/>
                <w:numId w:val="18"/>
              </w:numPr>
              <w:tabs>
                <w:tab w:val="left" w:pos="138"/>
              </w:tabs>
              <w:ind w:left="0" w:firstLine="0"/>
              <w:rPr>
                <w:rFonts w:asciiTheme="majorHAnsi" w:eastAsia="Times New Roman" w:hAnsiTheme="majorHAnsi" w:cstheme="majorHAnsi"/>
                <w:color w:val="000000"/>
                <w:sz w:val="16"/>
                <w:szCs w:val="16"/>
                <w:highlight w:val="cyan"/>
                <w:lang w:val="es-CO" w:eastAsia="es-CO"/>
              </w:rPr>
            </w:pPr>
            <w:r w:rsidRPr="004C4BE0">
              <w:rPr>
                <w:rFonts w:asciiTheme="majorHAnsi" w:eastAsia="Times New Roman" w:hAnsiTheme="majorHAnsi" w:cstheme="majorHAnsi"/>
                <w:color w:val="000000"/>
                <w:sz w:val="16"/>
                <w:szCs w:val="16"/>
                <w:highlight w:val="cyan"/>
                <w:lang w:val="es-CO" w:eastAsia="es-CO"/>
              </w:rPr>
              <w:t>Manual del SIG Actualizado</w:t>
            </w:r>
          </w:p>
          <w:p w14:paraId="4E0E78EE"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0E1B7757" w14:textId="77777777" w:rsidTr="007F5968">
        <w:trPr>
          <w:trHeight w:val="20"/>
        </w:trPr>
        <w:tc>
          <w:tcPr>
            <w:tcW w:w="840" w:type="dxa"/>
            <w:shd w:val="clear" w:color="auto" w:fill="auto"/>
            <w:vAlign w:val="center"/>
            <w:hideMark/>
          </w:tcPr>
          <w:p w14:paraId="3124920C"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5.1 (b)</w:t>
            </w:r>
          </w:p>
        </w:tc>
        <w:tc>
          <w:tcPr>
            <w:tcW w:w="1854" w:type="dxa"/>
            <w:vMerge/>
            <w:vAlign w:val="center"/>
            <w:hideMark/>
          </w:tcPr>
          <w:p w14:paraId="6303B212"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1FD342F8"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asegurando la integración de los </w:t>
            </w:r>
            <w:r w:rsidRPr="00E305B4">
              <w:rPr>
                <w:rFonts w:asciiTheme="majorHAnsi" w:eastAsia="Times New Roman" w:hAnsiTheme="majorHAnsi" w:cstheme="majorHAnsi"/>
                <w:color w:val="000000"/>
                <w:sz w:val="16"/>
                <w:szCs w:val="16"/>
                <w:lang w:val="es-CO" w:eastAsia="es-CO"/>
              </w:rPr>
              <w:lastRenderedPageBreak/>
              <w:t>requisitos del sistema de gestión de la seguridad de la información en los procesos de negocio de la organización</w:t>
            </w:r>
          </w:p>
        </w:tc>
        <w:tc>
          <w:tcPr>
            <w:tcW w:w="1368" w:type="dxa"/>
            <w:shd w:val="clear" w:color="000000" w:fill="FFC000"/>
            <w:vAlign w:val="center"/>
            <w:hideMark/>
          </w:tcPr>
          <w:p w14:paraId="06BCE330"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lastRenderedPageBreak/>
              <w:t>PARCIAL</w:t>
            </w:r>
          </w:p>
        </w:tc>
        <w:tc>
          <w:tcPr>
            <w:tcW w:w="3246" w:type="dxa"/>
            <w:shd w:val="clear" w:color="auto" w:fill="auto"/>
            <w:vAlign w:val="center"/>
            <w:hideMark/>
          </w:tcPr>
          <w:p w14:paraId="176459AB"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Desde la OTIC se ha realizado concienciación </w:t>
            </w:r>
            <w:r w:rsidRPr="00E305B4">
              <w:rPr>
                <w:rFonts w:asciiTheme="majorHAnsi" w:eastAsia="Times New Roman" w:hAnsiTheme="majorHAnsi" w:cstheme="majorHAnsi"/>
                <w:color w:val="000000"/>
                <w:sz w:val="16"/>
                <w:szCs w:val="16"/>
                <w:lang w:val="es-CO" w:eastAsia="es-CO"/>
              </w:rPr>
              <w:lastRenderedPageBreak/>
              <w:t>con las áreas sobre la importancia de la seguridad de la información.</w:t>
            </w:r>
          </w:p>
        </w:tc>
        <w:tc>
          <w:tcPr>
            <w:tcW w:w="1038" w:type="dxa"/>
            <w:shd w:val="clear" w:color="000000" w:fill="FFFF00"/>
            <w:noWrap/>
            <w:vAlign w:val="center"/>
            <w:hideMark/>
          </w:tcPr>
          <w:p w14:paraId="7FD0B58E"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lastRenderedPageBreak/>
              <w:t>Repetible</w:t>
            </w:r>
          </w:p>
        </w:tc>
        <w:tc>
          <w:tcPr>
            <w:tcW w:w="850" w:type="dxa"/>
            <w:shd w:val="clear" w:color="auto" w:fill="auto"/>
            <w:noWrap/>
            <w:vAlign w:val="center"/>
            <w:hideMark/>
          </w:tcPr>
          <w:p w14:paraId="04D210E2" w14:textId="77777777" w:rsidR="007F5968" w:rsidRPr="00E305B4" w:rsidRDefault="007E0980"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10</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09DE712B" w14:textId="77777777" w:rsidR="007F5968" w:rsidRPr="00E305B4" w:rsidRDefault="0014683D"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Se actualiza la Resolución 0186 de 2019 </w:t>
            </w:r>
            <w:r w:rsidR="007F5968" w:rsidRPr="00E305B4">
              <w:rPr>
                <w:rFonts w:asciiTheme="majorHAnsi" w:eastAsia="Times New Roman" w:hAnsiTheme="majorHAnsi" w:cstheme="majorHAnsi"/>
                <w:color w:val="000000"/>
                <w:sz w:val="16"/>
                <w:szCs w:val="16"/>
                <w:lang w:val="es-CO" w:eastAsia="es-CO"/>
              </w:rPr>
              <w:t xml:space="preserve">de manera </w:t>
            </w:r>
            <w:r w:rsidR="007F5968" w:rsidRPr="00E305B4">
              <w:rPr>
                <w:rFonts w:asciiTheme="majorHAnsi" w:eastAsia="Times New Roman" w:hAnsiTheme="majorHAnsi" w:cstheme="majorHAnsi"/>
                <w:color w:val="000000"/>
                <w:sz w:val="16"/>
                <w:szCs w:val="16"/>
                <w:lang w:val="es-CO" w:eastAsia="es-CO"/>
              </w:rPr>
              <w:lastRenderedPageBreak/>
              <w:t>que se incorporen no las responsabilidades de la OTIC en materia de seguridad de la información sino las responsabilidades que tienen todas las áreas del instituto</w:t>
            </w:r>
          </w:p>
        </w:tc>
        <w:tc>
          <w:tcPr>
            <w:tcW w:w="1763" w:type="dxa"/>
          </w:tcPr>
          <w:p w14:paraId="35A8218A" w14:textId="77777777" w:rsidR="007F5968" w:rsidRPr="007E0980" w:rsidRDefault="007E0980" w:rsidP="00187127">
            <w:pPr>
              <w:pStyle w:val="Prrafodelista"/>
              <w:numPr>
                <w:ilvl w:val="0"/>
                <w:numId w:val="19"/>
              </w:numPr>
              <w:tabs>
                <w:tab w:val="left" w:pos="138"/>
              </w:tabs>
              <w:ind w:left="0" w:firstLine="0"/>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highlight w:val="green"/>
                <w:lang w:val="es-CO" w:eastAsia="es-CO"/>
              </w:rPr>
              <w:lastRenderedPageBreak/>
              <w:t xml:space="preserve">Se actualiza la </w:t>
            </w:r>
            <w:r w:rsidRPr="007E0980">
              <w:rPr>
                <w:rFonts w:asciiTheme="majorHAnsi" w:eastAsia="Times New Roman" w:hAnsiTheme="majorHAnsi" w:cstheme="majorHAnsi"/>
                <w:color w:val="000000"/>
                <w:sz w:val="16"/>
                <w:szCs w:val="16"/>
                <w:highlight w:val="green"/>
                <w:lang w:val="es-CO" w:eastAsia="es-CO"/>
              </w:rPr>
              <w:lastRenderedPageBreak/>
              <w:t>Política de seguridad 0186 de 2019</w:t>
            </w:r>
          </w:p>
        </w:tc>
      </w:tr>
      <w:tr w:rsidR="00274728" w:rsidRPr="00E305B4" w14:paraId="597BF459" w14:textId="77777777" w:rsidTr="007F5968">
        <w:trPr>
          <w:trHeight w:val="20"/>
        </w:trPr>
        <w:tc>
          <w:tcPr>
            <w:tcW w:w="840" w:type="dxa"/>
            <w:shd w:val="clear" w:color="auto" w:fill="auto"/>
            <w:vAlign w:val="center"/>
            <w:hideMark/>
          </w:tcPr>
          <w:p w14:paraId="4EBDEDAA"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lastRenderedPageBreak/>
              <w:t>5.1 (c)</w:t>
            </w:r>
          </w:p>
        </w:tc>
        <w:tc>
          <w:tcPr>
            <w:tcW w:w="1854" w:type="dxa"/>
            <w:vMerge/>
            <w:vAlign w:val="center"/>
            <w:hideMark/>
          </w:tcPr>
          <w:p w14:paraId="67538146"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09935790"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asegurando que los recursos necesarios para el sistema de gestión de la seguridad de la información estén disponibles</w:t>
            </w:r>
          </w:p>
        </w:tc>
        <w:tc>
          <w:tcPr>
            <w:tcW w:w="1368" w:type="dxa"/>
            <w:shd w:val="clear" w:color="000000" w:fill="008000"/>
            <w:vAlign w:val="center"/>
            <w:hideMark/>
          </w:tcPr>
          <w:p w14:paraId="7492EFD3"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44075A8D" w14:textId="77777777" w:rsidR="007F5968" w:rsidRPr="00E305B4" w:rsidRDefault="007E0980"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La alta Dirección con su apoyo y compromiso de la implementación  del sistema de seguridad  ha realizado la contratación dos años consecutivos por medio de una </w:t>
            </w:r>
            <w:r w:rsidR="007F5968" w:rsidRPr="00E305B4">
              <w:rPr>
                <w:rFonts w:asciiTheme="majorHAnsi" w:eastAsia="Times New Roman" w:hAnsiTheme="majorHAnsi" w:cstheme="majorHAnsi"/>
                <w:color w:val="000000"/>
                <w:sz w:val="16"/>
                <w:szCs w:val="16"/>
                <w:lang w:val="es-CO" w:eastAsia="es-CO"/>
              </w:rPr>
              <w:t xml:space="preserve"> consultoría </w:t>
            </w:r>
            <w:r>
              <w:rPr>
                <w:rFonts w:asciiTheme="majorHAnsi" w:eastAsia="Times New Roman" w:hAnsiTheme="majorHAnsi" w:cstheme="majorHAnsi"/>
                <w:color w:val="000000"/>
                <w:sz w:val="16"/>
                <w:szCs w:val="16"/>
                <w:lang w:val="es-CO" w:eastAsia="es-CO"/>
              </w:rPr>
              <w:t>la cual realizo un</w:t>
            </w:r>
            <w:r w:rsidR="007F5968" w:rsidRPr="00E305B4">
              <w:rPr>
                <w:rFonts w:asciiTheme="majorHAnsi" w:eastAsia="Times New Roman" w:hAnsiTheme="majorHAnsi" w:cstheme="majorHAnsi"/>
                <w:color w:val="000000"/>
                <w:sz w:val="16"/>
                <w:szCs w:val="16"/>
                <w:lang w:val="es-CO" w:eastAsia="es-CO"/>
              </w:rPr>
              <w:t xml:space="preserve"> diagnóstico del estado del modelo de seguridad y privacidad de la información (MSPI) del INS, la revisión y actualización de la documentación y el levantamiento de los riesgos en todos los procesos de la entidad para garantizar la confidencialidad, integridad y disponibilidad de la información gestionada</w:t>
            </w:r>
            <w:r>
              <w:rPr>
                <w:rFonts w:asciiTheme="majorHAnsi" w:eastAsia="Times New Roman" w:hAnsiTheme="majorHAnsi" w:cstheme="majorHAnsi"/>
                <w:color w:val="000000"/>
                <w:sz w:val="16"/>
                <w:szCs w:val="16"/>
                <w:lang w:val="es-CO" w:eastAsia="es-CO"/>
              </w:rPr>
              <w:t>, adicionalmente se realizó una socialización de los riesgos, se entregó herramientas para su aplicación, seguimiento, control, se trabajó los procedimientos y las políticas específicas para</w:t>
            </w:r>
            <w:r w:rsidR="007F5968" w:rsidRPr="00E305B4">
              <w:rPr>
                <w:rFonts w:asciiTheme="majorHAnsi" w:eastAsia="Times New Roman" w:hAnsiTheme="majorHAnsi" w:cstheme="majorHAnsi"/>
                <w:color w:val="000000"/>
                <w:sz w:val="16"/>
                <w:szCs w:val="16"/>
                <w:lang w:val="es-CO" w:eastAsia="es-CO"/>
              </w:rPr>
              <w:t xml:space="preserve"> Instituto Nacional de Salud.</w:t>
            </w:r>
          </w:p>
        </w:tc>
        <w:tc>
          <w:tcPr>
            <w:tcW w:w="1038" w:type="dxa"/>
            <w:shd w:val="clear" w:color="000000" w:fill="00B0F0"/>
            <w:noWrap/>
            <w:vAlign w:val="center"/>
            <w:hideMark/>
          </w:tcPr>
          <w:p w14:paraId="6929B873"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0095FCD5" w14:textId="77777777" w:rsidR="007F5968" w:rsidRPr="00E305B4" w:rsidRDefault="007E0980"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8</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15111DD2" w14:textId="77777777" w:rsidR="007F5968" w:rsidRPr="00E305B4" w:rsidRDefault="0014683D"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Se actualiza la Resolución 0186 de 2019 </w:t>
            </w:r>
            <w:r w:rsidR="007F5968" w:rsidRPr="00E305B4">
              <w:rPr>
                <w:rFonts w:asciiTheme="majorHAnsi" w:eastAsia="Times New Roman" w:hAnsiTheme="majorHAnsi" w:cstheme="majorHAnsi"/>
                <w:color w:val="000000"/>
                <w:sz w:val="16"/>
                <w:szCs w:val="16"/>
                <w:lang w:val="es-CO" w:eastAsia="es-CO"/>
              </w:rPr>
              <w:t>de manera que se especifique que el instituto asegurara los recursos necesarios para el sistema de gestión de la seguridad de la información</w:t>
            </w:r>
          </w:p>
        </w:tc>
        <w:tc>
          <w:tcPr>
            <w:tcW w:w="1763" w:type="dxa"/>
          </w:tcPr>
          <w:p w14:paraId="4CB1BBBC" w14:textId="77777777" w:rsidR="007F5968" w:rsidRPr="007E0980" w:rsidRDefault="007E0980" w:rsidP="00187127">
            <w:pPr>
              <w:pStyle w:val="Prrafodelista"/>
              <w:numPr>
                <w:ilvl w:val="0"/>
                <w:numId w:val="20"/>
              </w:numPr>
              <w:tabs>
                <w:tab w:val="left" w:pos="138"/>
              </w:tabs>
              <w:ind w:left="-4" w:firstLine="4"/>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highlight w:val="green"/>
                <w:lang w:val="es-CO" w:eastAsia="es-CO"/>
              </w:rPr>
              <w:t xml:space="preserve">Se actualiza la </w:t>
            </w:r>
            <w:r w:rsidRPr="007E0980">
              <w:rPr>
                <w:rFonts w:asciiTheme="majorHAnsi" w:eastAsia="Times New Roman" w:hAnsiTheme="majorHAnsi" w:cstheme="majorHAnsi"/>
                <w:color w:val="000000"/>
                <w:sz w:val="16"/>
                <w:szCs w:val="16"/>
                <w:highlight w:val="green"/>
                <w:lang w:val="es-CO" w:eastAsia="es-CO"/>
              </w:rPr>
              <w:t>Política de seguridad 0186 de 2019</w:t>
            </w:r>
          </w:p>
        </w:tc>
      </w:tr>
      <w:tr w:rsidR="00274728" w:rsidRPr="00E305B4" w14:paraId="294D928A" w14:textId="77777777" w:rsidTr="007F5968">
        <w:trPr>
          <w:trHeight w:val="20"/>
        </w:trPr>
        <w:tc>
          <w:tcPr>
            <w:tcW w:w="840" w:type="dxa"/>
            <w:shd w:val="clear" w:color="auto" w:fill="auto"/>
            <w:vAlign w:val="center"/>
            <w:hideMark/>
          </w:tcPr>
          <w:p w14:paraId="0359E2C9"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5.1 (d)</w:t>
            </w:r>
          </w:p>
        </w:tc>
        <w:tc>
          <w:tcPr>
            <w:tcW w:w="1854" w:type="dxa"/>
            <w:vMerge/>
            <w:vAlign w:val="center"/>
            <w:hideMark/>
          </w:tcPr>
          <w:p w14:paraId="2A5DF470"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71774819"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comunicando la importancia de una gestión de la seguridad de la información eficaz y de la conformidad con los requisitos del sistema de gestión de la seguridad de la información</w:t>
            </w:r>
          </w:p>
        </w:tc>
        <w:tc>
          <w:tcPr>
            <w:tcW w:w="1368" w:type="dxa"/>
            <w:shd w:val="clear" w:color="000000" w:fill="008000"/>
            <w:vAlign w:val="center"/>
            <w:hideMark/>
          </w:tcPr>
          <w:p w14:paraId="0815D801"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490C47A6" w14:textId="77777777" w:rsidR="007F5968" w:rsidRDefault="007F5968" w:rsidP="000F099B">
            <w:pPr>
              <w:rPr>
                <w:rFonts w:asciiTheme="majorHAnsi" w:eastAsia="Times New Roman" w:hAnsiTheme="majorHAnsi" w:cstheme="majorHAnsi"/>
                <w:color w:val="000000"/>
                <w:sz w:val="16"/>
                <w:szCs w:val="16"/>
                <w:lang w:val="es-CO" w:eastAsia="es-CO"/>
              </w:rPr>
            </w:pPr>
            <w:r w:rsidRPr="0014683D">
              <w:rPr>
                <w:rFonts w:asciiTheme="majorHAnsi" w:eastAsia="Times New Roman" w:hAnsiTheme="majorHAnsi" w:cstheme="majorHAnsi"/>
                <w:color w:val="000000"/>
                <w:sz w:val="16"/>
                <w:szCs w:val="16"/>
                <w:highlight w:val="magenta"/>
                <w:lang w:val="es-CO" w:eastAsia="es-CO"/>
              </w:rPr>
              <w:t>Desde la OTIC se ha realizado concienciación con las áreas sobre la importancia de la seguridad de la información.</w:t>
            </w:r>
          </w:p>
          <w:p w14:paraId="7725885D" w14:textId="77777777" w:rsidR="0014683D" w:rsidRDefault="0014683D" w:rsidP="000F099B">
            <w:pPr>
              <w:rPr>
                <w:rFonts w:asciiTheme="majorHAnsi" w:eastAsia="Times New Roman" w:hAnsiTheme="majorHAnsi" w:cstheme="majorHAnsi"/>
                <w:color w:val="000000"/>
                <w:sz w:val="16"/>
                <w:szCs w:val="16"/>
                <w:lang w:val="es-CO" w:eastAsia="es-CO"/>
              </w:rPr>
            </w:pPr>
          </w:p>
          <w:p w14:paraId="75ED488D" w14:textId="77777777" w:rsidR="0014683D" w:rsidRPr="00E305B4" w:rsidRDefault="0014683D"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Desde la OTIC se han realizado actividades de </w:t>
            </w:r>
            <w:proofErr w:type="gramStart"/>
            <w:r>
              <w:rPr>
                <w:rFonts w:asciiTheme="majorHAnsi" w:eastAsia="Times New Roman" w:hAnsiTheme="majorHAnsi" w:cstheme="majorHAnsi"/>
                <w:color w:val="000000"/>
                <w:sz w:val="16"/>
                <w:szCs w:val="16"/>
                <w:lang w:val="es-CO" w:eastAsia="es-CO"/>
              </w:rPr>
              <w:t>concientización  y</w:t>
            </w:r>
            <w:proofErr w:type="gramEnd"/>
            <w:r>
              <w:rPr>
                <w:rFonts w:asciiTheme="majorHAnsi" w:eastAsia="Times New Roman" w:hAnsiTheme="majorHAnsi" w:cstheme="majorHAnsi"/>
                <w:color w:val="000000"/>
                <w:sz w:val="16"/>
                <w:szCs w:val="16"/>
                <w:lang w:val="es-CO" w:eastAsia="es-CO"/>
              </w:rPr>
              <w:t xml:space="preserve"> se actualizo la resolución </w:t>
            </w:r>
            <w:r w:rsidR="00BC0293">
              <w:rPr>
                <w:rFonts w:asciiTheme="majorHAnsi" w:eastAsia="Times New Roman" w:hAnsiTheme="majorHAnsi" w:cstheme="majorHAnsi"/>
                <w:color w:val="000000"/>
                <w:sz w:val="16"/>
                <w:szCs w:val="16"/>
                <w:lang w:val="es-CO" w:eastAsia="es-CO"/>
              </w:rPr>
              <w:t>por la 0186 de</w:t>
            </w:r>
            <w:r>
              <w:rPr>
                <w:rFonts w:asciiTheme="majorHAnsi" w:eastAsia="Times New Roman" w:hAnsiTheme="majorHAnsi" w:cstheme="majorHAnsi"/>
                <w:color w:val="000000"/>
                <w:sz w:val="16"/>
                <w:szCs w:val="16"/>
                <w:lang w:val="es-CO" w:eastAsia="es-CO"/>
              </w:rPr>
              <w:t xml:space="preserve"> 2019 </w:t>
            </w:r>
          </w:p>
        </w:tc>
        <w:tc>
          <w:tcPr>
            <w:tcW w:w="1038" w:type="dxa"/>
            <w:shd w:val="clear" w:color="000000" w:fill="FFFF00"/>
            <w:noWrap/>
            <w:vAlign w:val="center"/>
            <w:hideMark/>
          </w:tcPr>
          <w:p w14:paraId="2B05314D"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Repetible</w:t>
            </w:r>
          </w:p>
        </w:tc>
        <w:tc>
          <w:tcPr>
            <w:tcW w:w="850" w:type="dxa"/>
            <w:shd w:val="clear" w:color="auto" w:fill="auto"/>
            <w:noWrap/>
            <w:vAlign w:val="center"/>
            <w:hideMark/>
          </w:tcPr>
          <w:p w14:paraId="014115FE" w14:textId="77777777" w:rsidR="007F5968" w:rsidRPr="00E305B4" w:rsidRDefault="0014683D"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6</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38F55B89" w14:textId="77777777" w:rsidR="007F5968" w:rsidRPr="00E305B4" w:rsidRDefault="0014683D"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Se </w:t>
            </w:r>
            <w:r w:rsidR="00BC0293">
              <w:rPr>
                <w:rFonts w:asciiTheme="majorHAnsi" w:eastAsia="Times New Roman" w:hAnsiTheme="majorHAnsi" w:cstheme="majorHAnsi"/>
                <w:color w:val="000000"/>
                <w:sz w:val="16"/>
                <w:szCs w:val="16"/>
                <w:lang w:val="es-CO" w:eastAsia="es-CO"/>
              </w:rPr>
              <w:t xml:space="preserve">debe realizar un plan de sensibilización para contemplar los diferentes temas para reforzar el realizado en el 2018 y con el alto compromiso de la alta dirección, se </w:t>
            </w:r>
            <w:r>
              <w:rPr>
                <w:rFonts w:asciiTheme="majorHAnsi" w:eastAsia="Times New Roman" w:hAnsiTheme="majorHAnsi" w:cstheme="majorHAnsi"/>
                <w:color w:val="000000"/>
                <w:sz w:val="16"/>
                <w:szCs w:val="16"/>
                <w:lang w:val="es-CO" w:eastAsia="es-CO"/>
              </w:rPr>
              <w:t xml:space="preserve">actualizó por la Resolución 0186 de 2019 </w:t>
            </w:r>
            <w:r w:rsidR="007F5968" w:rsidRPr="00E305B4">
              <w:rPr>
                <w:rFonts w:asciiTheme="majorHAnsi" w:eastAsia="Times New Roman" w:hAnsiTheme="majorHAnsi" w:cstheme="majorHAnsi"/>
                <w:color w:val="000000"/>
                <w:sz w:val="16"/>
                <w:szCs w:val="16"/>
                <w:lang w:val="es-CO" w:eastAsia="es-CO"/>
              </w:rPr>
              <w:t>de manera que se especifique que la alta dirección comunicara periódicamente la importancia de la gestión de la seguridad de la información</w:t>
            </w:r>
          </w:p>
        </w:tc>
        <w:tc>
          <w:tcPr>
            <w:tcW w:w="1763" w:type="dxa"/>
          </w:tcPr>
          <w:p w14:paraId="37C55B55" w14:textId="77777777" w:rsidR="007F5968" w:rsidRPr="00BC0293" w:rsidRDefault="00BC0293" w:rsidP="00187127">
            <w:pPr>
              <w:pStyle w:val="Prrafodelista"/>
              <w:numPr>
                <w:ilvl w:val="0"/>
                <w:numId w:val="21"/>
              </w:numPr>
              <w:tabs>
                <w:tab w:val="left" w:pos="153"/>
              </w:tabs>
              <w:ind w:left="11" w:hanging="11"/>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Actualización de la resolución 0186 de 2019</w:t>
            </w:r>
          </w:p>
        </w:tc>
      </w:tr>
      <w:tr w:rsidR="00274728" w:rsidRPr="00E305B4" w14:paraId="505C4080" w14:textId="77777777" w:rsidTr="007F5968">
        <w:trPr>
          <w:trHeight w:val="20"/>
        </w:trPr>
        <w:tc>
          <w:tcPr>
            <w:tcW w:w="840" w:type="dxa"/>
            <w:shd w:val="clear" w:color="auto" w:fill="auto"/>
            <w:vAlign w:val="center"/>
            <w:hideMark/>
          </w:tcPr>
          <w:p w14:paraId="1FFB76A0"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5.1 (e)</w:t>
            </w:r>
          </w:p>
        </w:tc>
        <w:tc>
          <w:tcPr>
            <w:tcW w:w="1854" w:type="dxa"/>
            <w:vMerge/>
            <w:vAlign w:val="center"/>
            <w:hideMark/>
          </w:tcPr>
          <w:p w14:paraId="0D029E56"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38810449"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asegurando que el sistema de gestión de la seguridad de la información logre los resultados previstos</w:t>
            </w:r>
          </w:p>
        </w:tc>
        <w:tc>
          <w:tcPr>
            <w:tcW w:w="1368" w:type="dxa"/>
            <w:shd w:val="clear" w:color="000000" w:fill="FFC000"/>
            <w:vAlign w:val="center"/>
            <w:hideMark/>
          </w:tcPr>
          <w:p w14:paraId="488E4374"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PARCIAL</w:t>
            </w:r>
          </w:p>
        </w:tc>
        <w:tc>
          <w:tcPr>
            <w:tcW w:w="3246" w:type="dxa"/>
            <w:shd w:val="clear" w:color="auto" w:fill="auto"/>
            <w:vAlign w:val="center"/>
            <w:hideMark/>
          </w:tcPr>
          <w:p w14:paraId="14BE984D" w14:textId="77777777" w:rsidR="00B546D7" w:rsidRDefault="00B546D7" w:rsidP="000F099B">
            <w:pPr>
              <w:rPr>
                <w:rFonts w:asciiTheme="majorHAnsi" w:eastAsia="Times New Roman" w:hAnsiTheme="majorHAnsi" w:cstheme="majorHAnsi"/>
                <w:color w:val="000000"/>
                <w:sz w:val="16"/>
                <w:szCs w:val="16"/>
                <w:lang w:val="es-CO" w:eastAsia="es-CO"/>
              </w:rPr>
            </w:pPr>
            <w:r w:rsidRPr="00B546D7">
              <w:rPr>
                <w:rFonts w:asciiTheme="majorHAnsi" w:eastAsia="Times New Roman" w:hAnsiTheme="majorHAnsi" w:cstheme="majorHAnsi"/>
                <w:color w:val="000000"/>
                <w:sz w:val="16"/>
                <w:szCs w:val="16"/>
                <w:highlight w:val="magenta"/>
                <w:lang w:val="es-CO" w:eastAsia="es-CO"/>
              </w:rPr>
              <w:t>Desde la OTIC se ha realizado seguimiento para que se cumplan los objetivos planteados en la nueva resolución</w:t>
            </w:r>
            <w:r>
              <w:rPr>
                <w:rFonts w:asciiTheme="majorHAnsi" w:eastAsia="Times New Roman" w:hAnsiTheme="majorHAnsi" w:cstheme="majorHAnsi"/>
                <w:color w:val="000000"/>
                <w:sz w:val="16"/>
                <w:szCs w:val="16"/>
                <w:lang w:val="es-CO" w:eastAsia="es-CO"/>
              </w:rPr>
              <w:t xml:space="preserve"> </w:t>
            </w:r>
          </w:p>
          <w:p w14:paraId="6EE58FAC" w14:textId="77777777" w:rsidR="00B546D7" w:rsidRDefault="00B546D7" w:rsidP="000F099B">
            <w:pPr>
              <w:rPr>
                <w:rFonts w:asciiTheme="majorHAnsi" w:eastAsia="Times New Roman" w:hAnsiTheme="majorHAnsi" w:cstheme="majorHAnsi"/>
                <w:color w:val="000000"/>
                <w:sz w:val="16"/>
                <w:szCs w:val="16"/>
                <w:lang w:val="es-CO" w:eastAsia="es-CO"/>
              </w:rPr>
            </w:pPr>
          </w:p>
          <w:p w14:paraId="77C5A12F"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Desde la OTIC se ha realizado seguimiento para que se cumplan los objetivos planteados </w:t>
            </w:r>
            <w:r w:rsidR="001E6000">
              <w:rPr>
                <w:rFonts w:asciiTheme="majorHAnsi" w:eastAsia="Times New Roman" w:hAnsiTheme="majorHAnsi" w:cstheme="majorHAnsi"/>
                <w:color w:val="000000"/>
                <w:sz w:val="16"/>
                <w:szCs w:val="16"/>
                <w:lang w:val="es-CO" w:eastAsia="es-CO"/>
              </w:rPr>
              <w:t>En la Resolución 0186 de 2019</w:t>
            </w:r>
          </w:p>
        </w:tc>
        <w:tc>
          <w:tcPr>
            <w:tcW w:w="1038" w:type="dxa"/>
            <w:shd w:val="clear" w:color="000000" w:fill="FFFF00"/>
            <w:noWrap/>
            <w:vAlign w:val="center"/>
            <w:hideMark/>
          </w:tcPr>
          <w:p w14:paraId="73C570E5"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Repetible</w:t>
            </w:r>
          </w:p>
        </w:tc>
        <w:tc>
          <w:tcPr>
            <w:tcW w:w="850" w:type="dxa"/>
            <w:shd w:val="clear" w:color="auto" w:fill="auto"/>
            <w:noWrap/>
            <w:vAlign w:val="center"/>
            <w:hideMark/>
          </w:tcPr>
          <w:p w14:paraId="788905E3" w14:textId="77777777" w:rsidR="007F5968" w:rsidRPr="00E305B4" w:rsidRDefault="00B546D7"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5</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3BB3C9AE" w14:textId="77777777" w:rsidR="007F5968" w:rsidRPr="00E305B4" w:rsidRDefault="0014683D"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Se actualizó por la Resolución 0186 de 2019 </w:t>
            </w:r>
            <w:r w:rsidR="007F5968" w:rsidRPr="00E305B4">
              <w:rPr>
                <w:rFonts w:asciiTheme="majorHAnsi" w:eastAsia="Times New Roman" w:hAnsiTheme="majorHAnsi" w:cstheme="majorHAnsi"/>
                <w:color w:val="000000"/>
                <w:sz w:val="16"/>
                <w:szCs w:val="16"/>
                <w:lang w:val="es-CO" w:eastAsia="es-CO"/>
              </w:rPr>
              <w:t>de manera que se especifique que la alta dirección revisara periódicamente el sistema de gestión de la seguridad de la información para que logre los resultados previstos</w:t>
            </w:r>
          </w:p>
        </w:tc>
        <w:tc>
          <w:tcPr>
            <w:tcW w:w="1763" w:type="dxa"/>
          </w:tcPr>
          <w:p w14:paraId="7B4CE78F"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45AE4480" w14:textId="77777777" w:rsidTr="007F5968">
        <w:trPr>
          <w:trHeight w:val="20"/>
        </w:trPr>
        <w:tc>
          <w:tcPr>
            <w:tcW w:w="840" w:type="dxa"/>
            <w:shd w:val="clear" w:color="auto" w:fill="auto"/>
            <w:vAlign w:val="center"/>
            <w:hideMark/>
          </w:tcPr>
          <w:p w14:paraId="7E234989"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5.1 (f)</w:t>
            </w:r>
          </w:p>
        </w:tc>
        <w:tc>
          <w:tcPr>
            <w:tcW w:w="1854" w:type="dxa"/>
            <w:vMerge/>
            <w:vAlign w:val="center"/>
            <w:hideMark/>
          </w:tcPr>
          <w:p w14:paraId="2AC90136"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7C403294"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dirigiendo y apoyando a las personas, para contribuir a la eficacia del sistema de gestión de la seguridad de la información</w:t>
            </w:r>
          </w:p>
        </w:tc>
        <w:tc>
          <w:tcPr>
            <w:tcW w:w="1368" w:type="dxa"/>
            <w:shd w:val="clear" w:color="000000" w:fill="FFC000"/>
            <w:vAlign w:val="center"/>
            <w:hideMark/>
          </w:tcPr>
          <w:p w14:paraId="45E16049"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PARCIAL</w:t>
            </w:r>
          </w:p>
        </w:tc>
        <w:tc>
          <w:tcPr>
            <w:tcW w:w="3246" w:type="dxa"/>
            <w:shd w:val="clear" w:color="auto" w:fill="auto"/>
            <w:vAlign w:val="center"/>
            <w:hideMark/>
          </w:tcPr>
          <w:p w14:paraId="7237A88F" w14:textId="77777777" w:rsidR="00B546D7" w:rsidRDefault="00B546D7" w:rsidP="00B546D7">
            <w:pPr>
              <w:rPr>
                <w:rFonts w:asciiTheme="majorHAnsi" w:eastAsia="Times New Roman" w:hAnsiTheme="majorHAnsi" w:cstheme="majorHAnsi"/>
                <w:color w:val="000000"/>
                <w:sz w:val="16"/>
                <w:szCs w:val="16"/>
                <w:lang w:val="es-CO" w:eastAsia="es-CO"/>
              </w:rPr>
            </w:pPr>
            <w:r w:rsidRPr="00B546D7">
              <w:rPr>
                <w:rFonts w:asciiTheme="majorHAnsi" w:eastAsia="Times New Roman" w:hAnsiTheme="majorHAnsi" w:cstheme="majorHAnsi"/>
                <w:color w:val="000000"/>
                <w:sz w:val="16"/>
                <w:szCs w:val="16"/>
                <w:highlight w:val="magenta"/>
                <w:lang w:val="es-CO" w:eastAsia="es-CO"/>
              </w:rPr>
              <w:t>Desde la OTIC se ha realizado seguimiento para que se cumplan los objetivos planteados en la nueva resolución</w:t>
            </w:r>
            <w:r>
              <w:rPr>
                <w:rFonts w:asciiTheme="majorHAnsi" w:eastAsia="Times New Roman" w:hAnsiTheme="majorHAnsi" w:cstheme="majorHAnsi"/>
                <w:color w:val="000000"/>
                <w:sz w:val="16"/>
                <w:szCs w:val="16"/>
                <w:lang w:val="es-CO" w:eastAsia="es-CO"/>
              </w:rPr>
              <w:t xml:space="preserve"> </w:t>
            </w:r>
          </w:p>
          <w:p w14:paraId="5C4A6032" w14:textId="77777777" w:rsidR="00B546D7" w:rsidRDefault="00B546D7" w:rsidP="000F099B">
            <w:pPr>
              <w:rPr>
                <w:rFonts w:asciiTheme="majorHAnsi" w:eastAsia="Times New Roman" w:hAnsiTheme="majorHAnsi" w:cstheme="majorHAnsi"/>
                <w:color w:val="000000"/>
                <w:sz w:val="16"/>
                <w:szCs w:val="16"/>
                <w:lang w:val="es-CO" w:eastAsia="es-CO"/>
              </w:rPr>
            </w:pPr>
          </w:p>
          <w:p w14:paraId="2C594DE2"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Desde la OTIC se ha realizado seguimiento para que se cumplan los objetivos planteados </w:t>
            </w:r>
            <w:r w:rsidR="001E6000">
              <w:rPr>
                <w:rFonts w:asciiTheme="majorHAnsi" w:eastAsia="Times New Roman" w:hAnsiTheme="majorHAnsi" w:cstheme="majorHAnsi"/>
                <w:color w:val="000000"/>
                <w:sz w:val="16"/>
                <w:szCs w:val="16"/>
                <w:lang w:val="es-CO" w:eastAsia="es-CO"/>
              </w:rPr>
              <w:t>En la Resolución 0186 de 2019</w:t>
            </w:r>
          </w:p>
        </w:tc>
        <w:tc>
          <w:tcPr>
            <w:tcW w:w="1038" w:type="dxa"/>
            <w:shd w:val="clear" w:color="000000" w:fill="FFFF00"/>
            <w:noWrap/>
            <w:vAlign w:val="center"/>
            <w:hideMark/>
          </w:tcPr>
          <w:p w14:paraId="790DAA45"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Repetible</w:t>
            </w:r>
          </w:p>
        </w:tc>
        <w:tc>
          <w:tcPr>
            <w:tcW w:w="850" w:type="dxa"/>
            <w:shd w:val="clear" w:color="auto" w:fill="auto"/>
            <w:noWrap/>
            <w:vAlign w:val="center"/>
            <w:hideMark/>
          </w:tcPr>
          <w:p w14:paraId="1C4A0ABC"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40%</w:t>
            </w:r>
          </w:p>
        </w:tc>
        <w:tc>
          <w:tcPr>
            <w:tcW w:w="3782" w:type="dxa"/>
            <w:shd w:val="clear" w:color="auto" w:fill="auto"/>
            <w:vAlign w:val="center"/>
            <w:hideMark/>
          </w:tcPr>
          <w:p w14:paraId="5F8A96E7" w14:textId="77777777" w:rsidR="007F5968" w:rsidRPr="00E305B4" w:rsidRDefault="0014683D"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Se actualizó por la Resolución 0186 de 2019 </w:t>
            </w:r>
            <w:r w:rsidR="007F5968" w:rsidRPr="00E305B4">
              <w:rPr>
                <w:rFonts w:asciiTheme="majorHAnsi" w:eastAsia="Times New Roman" w:hAnsiTheme="majorHAnsi" w:cstheme="majorHAnsi"/>
                <w:color w:val="000000"/>
                <w:sz w:val="16"/>
                <w:szCs w:val="16"/>
                <w:lang w:val="es-CO" w:eastAsia="es-CO"/>
              </w:rPr>
              <w:t>de manera que se especifique que la alta dirección dirigirá y apoyara a las personas, para contribuir a la eficacia del sistema de gestión de la seguridad de la información</w:t>
            </w:r>
          </w:p>
        </w:tc>
        <w:tc>
          <w:tcPr>
            <w:tcW w:w="1763" w:type="dxa"/>
          </w:tcPr>
          <w:p w14:paraId="62CBF621"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5C8DDB74" w14:textId="77777777" w:rsidTr="007F5968">
        <w:trPr>
          <w:trHeight w:val="20"/>
        </w:trPr>
        <w:tc>
          <w:tcPr>
            <w:tcW w:w="840" w:type="dxa"/>
            <w:shd w:val="clear" w:color="auto" w:fill="auto"/>
            <w:vAlign w:val="center"/>
            <w:hideMark/>
          </w:tcPr>
          <w:p w14:paraId="4986CDA6"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lastRenderedPageBreak/>
              <w:t>5.1 (g)</w:t>
            </w:r>
          </w:p>
        </w:tc>
        <w:tc>
          <w:tcPr>
            <w:tcW w:w="1854" w:type="dxa"/>
            <w:vMerge/>
            <w:vAlign w:val="center"/>
            <w:hideMark/>
          </w:tcPr>
          <w:p w14:paraId="538C2967"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431D34ED"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promoviendo la mejora continua, y</w:t>
            </w:r>
          </w:p>
        </w:tc>
        <w:tc>
          <w:tcPr>
            <w:tcW w:w="1368" w:type="dxa"/>
            <w:shd w:val="clear" w:color="000000" w:fill="FFC000"/>
            <w:vAlign w:val="center"/>
            <w:hideMark/>
          </w:tcPr>
          <w:p w14:paraId="52844023"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PARCIAL</w:t>
            </w:r>
          </w:p>
        </w:tc>
        <w:tc>
          <w:tcPr>
            <w:tcW w:w="3246" w:type="dxa"/>
            <w:shd w:val="clear" w:color="auto" w:fill="auto"/>
            <w:vAlign w:val="center"/>
            <w:hideMark/>
          </w:tcPr>
          <w:p w14:paraId="369D68F7" w14:textId="77777777" w:rsidR="00B546D7" w:rsidRDefault="00B546D7" w:rsidP="000F099B">
            <w:pPr>
              <w:rPr>
                <w:rFonts w:asciiTheme="majorHAnsi" w:eastAsia="Times New Roman" w:hAnsiTheme="majorHAnsi" w:cstheme="majorHAnsi"/>
                <w:color w:val="000000"/>
                <w:sz w:val="16"/>
                <w:szCs w:val="16"/>
                <w:lang w:val="es-CO" w:eastAsia="es-CO"/>
              </w:rPr>
            </w:pPr>
          </w:p>
          <w:p w14:paraId="4FD094EF" w14:textId="77777777" w:rsidR="00B546D7" w:rsidRDefault="00B546D7" w:rsidP="00B546D7">
            <w:pPr>
              <w:rPr>
                <w:rFonts w:asciiTheme="majorHAnsi" w:eastAsia="Times New Roman" w:hAnsiTheme="majorHAnsi" w:cstheme="majorHAnsi"/>
                <w:color w:val="000000"/>
                <w:sz w:val="16"/>
                <w:szCs w:val="16"/>
                <w:lang w:val="es-CO" w:eastAsia="es-CO"/>
              </w:rPr>
            </w:pPr>
            <w:r w:rsidRPr="00B546D7">
              <w:rPr>
                <w:rFonts w:asciiTheme="majorHAnsi" w:eastAsia="Times New Roman" w:hAnsiTheme="majorHAnsi" w:cstheme="majorHAnsi"/>
                <w:color w:val="000000"/>
                <w:sz w:val="16"/>
                <w:szCs w:val="16"/>
                <w:highlight w:val="magenta"/>
                <w:lang w:val="es-CO" w:eastAsia="es-CO"/>
              </w:rPr>
              <w:t>Desde la OTIC se ha realizado seguimiento para que se cumplan los objetivos planteados en la nueva resolución</w:t>
            </w:r>
            <w:r>
              <w:rPr>
                <w:rFonts w:asciiTheme="majorHAnsi" w:eastAsia="Times New Roman" w:hAnsiTheme="majorHAnsi" w:cstheme="majorHAnsi"/>
                <w:color w:val="000000"/>
                <w:sz w:val="16"/>
                <w:szCs w:val="16"/>
                <w:lang w:val="es-CO" w:eastAsia="es-CO"/>
              </w:rPr>
              <w:t xml:space="preserve"> </w:t>
            </w:r>
          </w:p>
          <w:p w14:paraId="0FEE806D" w14:textId="77777777" w:rsidR="00B546D7" w:rsidRDefault="00B546D7" w:rsidP="00B546D7">
            <w:pPr>
              <w:rPr>
                <w:rFonts w:asciiTheme="majorHAnsi" w:eastAsia="Times New Roman" w:hAnsiTheme="majorHAnsi" w:cstheme="majorHAnsi"/>
                <w:color w:val="000000"/>
                <w:sz w:val="16"/>
                <w:szCs w:val="16"/>
                <w:lang w:val="es-CO" w:eastAsia="es-CO"/>
              </w:rPr>
            </w:pPr>
          </w:p>
          <w:p w14:paraId="4BC182C7"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Desde la OTIC se ha realizado seguimiento para que se cumplan los objetivos planteados </w:t>
            </w:r>
            <w:r w:rsidR="001E6000">
              <w:rPr>
                <w:rFonts w:asciiTheme="majorHAnsi" w:eastAsia="Times New Roman" w:hAnsiTheme="majorHAnsi" w:cstheme="majorHAnsi"/>
                <w:color w:val="000000"/>
                <w:sz w:val="16"/>
                <w:szCs w:val="16"/>
                <w:lang w:val="es-CO" w:eastAsia="es-CO"/>
              </w:rPr>
              <w:t>En la Resolución 0186 de 2019</w:t>
            </w:r>
          </w:p>
        </w:tc>
        <w:tc>
          <w:tcPr>
            <w:tcW w:w="1038" w:type="dxa"/>
            <w:shd w:val="clear" w:color="000000" w:fill="FFFF00"/>
            <w:noWrap/>
            <w:vAlign w:val="center"/>
            <w:hideMark/>
          </w:tcPr>
          <w:p w14:paraId="59C2FA70"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Repetible</w:t>
            </w:r>
          </w:p>
        </w:tc>
        <w:tc>
          <w:tcPr>
            <w:tcW w:w="850" w:type="dxa"/>
            <w:shd w:val="clear" w:color="auto" w:fill="auto"/>
            <w:noWrap/>
            <w:vAlign w:val="center"/>
            <w:hideMark/>
          </w:tcPr>
          <w:p w14:paraId="280E74FA"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40%</w:t>
            </w:r>
          </w:p>
        </w:tc>
        <w:tc>
          <w:tcPr>
            <w:tcW w:w="3782" w:type="dxa"/>
            <w:shd w:val="clear" w:color="auto" w:fill="auto"/>
            <w:vAlign w:val="center"/>
            <w:hideMark/>
          </w:tcPr>
          <w:p w14:paraId="4DAA6FF0" w14:textId="77777777" w:rsidR="007F5968" w:rsidRPr="00E305B4" w:rsidRDefault="0014683D"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Se actualizó por la Resolución 0186 de 2019 </w:t>
            </w:r>
            <w:r w:rsidR="007F5968" w:rsidRPr="00E305B4">
              <w:rPr>
                <w:rFonts w:asciiTheme="majorHAnsi" w:eastAsia="Times New Roman" w:hAnsiTheme="majorHAnsi" w:cstheme="majorHAnsi"/>
                <w:color w:val="000000"/>
                <w:sz w:val="16"/>
                <w:szCs w:val="16"/>
                <w:lang w:val="es-CO" w:eastAsia="es-CO"/>
              </w:rPr>
              <w:t>de manera que se especifique que la alta dirección dirigirá y apoyara a las personas, para contribuir a la eficacia del sistema de gestión de la seguridad de la información</w:t>
            </w:r>
          </w:p>
        </w:tc>
        <w:tc>
          <w:tcPr>
            <w:tcW w:w="1763" w:type="dxa"/>
          </w:tcPr>
          <w:p w14:paraId="1E953137"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5BE75BD8" w14:textId="77777777" w:rsidTr="007F5968">
        <w:trPr>
          <w:trHeight w:val="20"/>
        </w:trPr>
        <w:tc>
          <w:tcPr>
            <w:tcW w:w="840" w:type="dxa"/>
            <w:shd w:val="clear" w:color="auto" w:fill="auto"/>
            <w:vAlign w:val="center"/>
            <w:hideMark/>
          </w:tcPr>
          <w:p w14:paraId="4928CE20"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5.1 (h)</w:t>
            </w:r>
          </w:p>
        </w:tc>
        <w:tc>
          <w:tcPr>
            <w:tcW w:w="1854" w:type="dxa"/>
            <w:vMerge/>
            <w:vAlign w:val="center"/>
            <w:hideMark/>
          </w:tcPr>
          <w:p w14:paraId="3D788B6D"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54899A5B"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apoyando otros roles pertinentes de la dirección, para demostrar su liderazgo aplicado a sus áreas de responsabilidad.</w:t>
            </w:r>
          </w:p>
        </w:tc>
        <w:tc>
          <w:tcPr>
            <w:tcW w:w="1368" w:type="dxa"/>
            <w:shd w:val="clear" w:color="000000" w:fill="FFC000"/>
            <w:vAlign w:val="center"/>
            <w:hideMark/>
          </w:tcPr>
          <w:p w14:paraId="3DF37305"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PARCIAL</w:t>
            </w:r>
          </w:p>
        </w:tc>
        <w:tc>
          <w:tcPr>
            <w:tcW w:w="3246" w:type="dxa"/>
            <w:shd w:val="clear" w:color="auto" w:fill="auto"/>
            <w:vAlign w:val="center"/>
            <w:hideMark/>
          </w:tcPr>
          <w:p w14:paraId="3F90581D" w14:textId="77777777" w:rsidR="00B546D7" w:rsidRDefault="00B546D7" w:rsidP="00B546D7">
            <w:pPr>
              <w:rPr>
                <w:rFonts w:asciiTheme="majorHAnsi" w:eastAsia="Times New Roman" w:hAnsiTheme="majorHAnsi" w:cstheme="majorHAnsi"/>
                <w:color w:val="000000"/>
                <w:sz w:val="16"/>
                <w:szCs w:val="16"/>
                <w:lang w:val="es-CO" w:eastAsia="es-CO"/>
              </w:rPr>
            </w:pPr>
            <w:r w:rsidRPr="00B546D7">
              <w:rPr>
                <w:rFonts w:asciiTheme="majorHAnsi" w:eastAsia="Times New Roman" w:hAnsiTheme="majorHAnsi" w:cstheme="majorHAnsi"/>
                <w:color w:val="000000"/>
                <w:sz w:val="16"/>
                <w:szCs w:val="16"/>
                <w:highlight w:val="magenta"/>
                <w:lang w:val="es-CO" w:eastAsia="es-CO"/>
              </w:rPr>
              <w:t>Desde la OTIC se ha realizado seguimiento para que se cumplan los objetivos planteados en la nueva resolución</w:t>
            </w:r>
            <w:r>
              <w:rPr>
                <w:rFonts w:asciiTheme="majorHAnsi" w:eastAsia="Times New Roman" w:hAnsiTheme="majorHAnsi" w:cstheme="majorHAnsi"/>
                <w:color w:val="000000"/>
                <w:sz w:val="16"/>
                <w:szCs w:val="16"/>
                <w:lang w:val="es-CO" w:eastAsia="es-CO"/>
              </w:rPr>
              <w:t xml:space="preserve"> </w:t>
            </w:r>
          </w:p>
          <w:p w14:paraId="1F912D73" w14:textId="77777777" w:rsidR="00B546D7" w:rsidRDefault="00B546D7" w:rsidP="000F099B">
            <w:pPr>
              <w:rPr>
                <w:rFonts w:asciiTheme="majorHAnsi" w:eastAsia="Times New Roman" w:hAnsiTheme="majorHAnsi" w:cstheme="majorHAnsi"/>
                <w:color w:val="000000"/>
                <w:sz w:val="16"/>
                <w:szCs w:val="16"/>
                <w:lang w:val="es-CO" w:eastAsia="es-CO"/>
              </w:rPr>
            </w:pPr>
          </w:p>
          <w:p w14:paraId="1F89513F"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Desde la OTIC se ha realizado seguimiento para que se cumplan los objetivos planteados </w:t>
            </w:r>
            <w:r w:rsidR="001E6000">
              <w:rPr>
                <w:rFonts w:asciiTheme="majorHAnsi" w:eastAsia="Times New Roman" w:hAnsiTheme="majorHAnsi" w:cstheme="majorHAnsi"/>
                <w:color w:val="000000"/>
                <w:sz w:val="16"/>
                <w:szCs w:val="16"/>
                <w:lang w:val="es-CO" w:eastAsia="es-CO"/>
              </w:rPr>
              <w:t>En la Resolución 0186 de 2019</w:t>
            </w:r>
          </w:p>
        </w:tc>
        <w:tc>
          <w:tcPr>
            <w:tcW w:w="1038" w:type="dxa"/>
            <w:shd w:val="clear" w:color="000000" w:fill="FFFF00"/>
            <w:noWrap/>
            <w:vAlign w:val="center"/>
            <w:hideMark/>
          </w:tcPr>
          <w:p w14:paraId="71FEA7C3"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Repetible</w:t>
            </w:r>
          </w:p>
        </w:tc>
        <w:tc>
          <w:tcPr>
            <w:tcW w:w="850" w:type="dxa"/>
            <w:shd w:val="clear" w:color="auto" w:fill="auto"/>
            <w:noWrap/>
            <w:vAlign w:val="center"/>
            <w:hideMark/>
          </w:tcPr>
          <w:p w14:paraId="5176E7CA"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40%</w:t>
            </w:r>
          </w:p>
        </w:tc>
        <w:tc>
          <w:tcPr>
            <w:tcW w:w="3782" w:type="dxa"/>
            <w:shd w:val="clear" w:color="auto" w:fill="auto"/>
            <w:vAlign w:val="center"/>
            <w:hideMark/>
          </w:tcPr>
          <w:p w14:paraId="59A70546" w14:textId="77777777" w:rsidR="007F5968" w:rsidRPr="00E305B4" w:rsidRDefault="0014683D"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Se actualizó por la Resolución 0186 de 2019 </w:t>
            </w:r>
            <w:r w:rsidR="007F5968" w:rsidRPr="00E305B4">
              <w:rPr>
                <w:rFonts w:asciiTheme="majorHAnsi" w:eastAsia="Times New Roman" w:hAnsiTheme="majorHAnsi" w:cstheme="majorHAnsi"/>
                <w:color w:val="000000"/>
                <w:sz w:val="16"/>
                <w:szCs w:val="16"/>
                <w:lang w:val="es-CO" w:eastAsia="es-CO"/>
              </w:rPr>
              <w:t>de manera que se especifique que la alta dirección apoyara los roles necesarios para garantizar el cumplimiento de los objetivos de seguridad de la información</w:t>
            </w:r>
          </w:p>
        </w:tc>
        <w:tc>
          <w:tcPr>
            <w:tcW w:w="1763" w:type="dxa"/>
          </w:tcPr>
          <w:p w14:paraId="778246E9"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BC0293" w:rsidRPr="00E305B4" w14:paraId="35FC4E86" w14:textId="77777777" w:rsidTr="007F5968">
        <w:trPr>
          <w:trHeight w:val="20"/>
        </w:trPr>
        <w:tc>
          <w:tcPr>
            <w:tcW w:w="840" w:type="dxa"/>
            <w:shd w:val="clear" w:color="000000" w:fill="538DD5"/>
            <w:noWrap/>
            <w:vAlign w:val="center"/>
            <w:hideMark/>
          </w:tcPr>
          <w:p w14:paraId="55BB4968"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5.2</w:t>
            </w:r>
          </w:p>
        </w:tc>
        <w:tc>
          <w:tcPr>
            <w:tcW w:w="10057" w:type="dxa"/>
            <w:gridSpan w:val="5"/>
            <w:shd w:val="clear" w:color="000000" w:fill="538DD5"/>
            <w:noWrap/>
            <w:vAlign w:val="center"/>
            <w:hideMark/>
          </w:tcPr>
          <w:p w14:paraId="0CFBEFC1"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Política</w:t>
            </w:r>
          </w:p>
        </w:tc>
        <w:tc>
          <w:tcPr>
            <w:tcW w:w="850" w:type="dxa"/>
            <w:shd w:val="clear" w:color="000000" w:fill="538DD5"/>
            <w:noWrap/>
            <w:vAlign w:val="center"/>
            <w:hideMark/>
          </w:tcPr>
          <w:p w14:paraId="382971D7"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57%</w:t>
            </w:r>
          </w:p>
        </w:tc>
        <w:tc>
          <w:tcPr>
            <w:tcW w:w="3782" w:type="dxa"/>
            <w:shd w:val="clear" w:color="000000" w:fill="538DD5"/>
            <w:noWrap/>
            <w:vAlign w:val="center"/>
            <w:hideMark/>
          </w:tcPr>
          <w:p w14:paraId="29011DD3"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2AE1DD87"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0F2CBAAE" w14:textId="77777777" w:rsidTr="007F5968">
        <w:trPr>
          <w:trHeight w:val="20"/>
        </w:trPr>
        <w:tc>
          <w:tcPr>
            <w:tcW w:w="840" w:type="dxa"/>
            <w:shd w:val="clear" w:color="auto" w:fill="auto"/>
            <w:vAlign w:val="center"/>
            <w:hideMark/>
          </w:tcPr>
          <w:p w14:paraId="2B5D3349"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5.2 (a)</w:t>
            </w:r>
          </w:p>
        </w:tc>
        <w:tc>
          <w:tcPr>
            <w:tcW w:w="1854" w:type="dxa"/>
            <w:vMerge w:val="restart"/>
            <w:shd w:val="clear" w:color="auto" w:fill="auto"/>
            <w:vAlign w:val="center"/>
            <w:hideMark/>
          </w:tcPr>
          <w:p w14:paraId="318551BC"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alta dirección debe establecer una política de la seguridad de la información que:</w:t>
            </w:r>
          </w:p>
        </w:tc>
        <w:tc>
          <w:tcPr>
            <w:tcW w:w="2551" w:type="dxa"/>
            <w:shd w:val="clear" w:color="auto" w:fill="auto"/>
            <w:vAlign w:val="center"/>
            <w:hideMark/>
          </w:tcPr>
          <w:p w14:paraId="629D6772"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sea adecuada al propósito de la organización</w:t>
            </w:r>
          </w:p>
        </w:tc>
        <w:tc>
          <w:tcPr>
            <w:tcW w:w="1368" w:type="dxa"/>
            <w:shd w:val="clear" w:color="000000" w:fill="008000"/>
            <w:vAlign w:val="center"/>
            <w:hideMark/>
          </w:tcPr>
          <w:p w14:paraId="4B966B90"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64A94369" w14:textId="77777777" w:rsidR="00B546D7" w:rsidRDefault="00B546D7" w:rsidP="000F099B">
            <w:pPr>
              <w:rPr>
                <w:rFonts w:asciiTheme="majorHAnsi" w:eastAsia="Times New Roman" w:hAnsiTheme="majorHAnsi" w:cstheme="majorHAnsi"/>
                <w:color w:val="000000"/>
                <w:sz w:val="16"/>
                <w:szCs w:val="16"/>
                <w:lang w:val="es-CO" w:eastAsia="es-CO"/>
              </w:rPr>
            </w:pPr>
            <w:r w:rsidRPr="00B546D7">
              <w:rPr>
                <w:rFonts w:asciiTheme="majorHAnsi" w:eastAsia="Times New Roman" w:hAnsiTheme="majorHAnsi" w:cstheme="majorHAnsi"/>
                <w:color w:val="000000"/>
                <w:sz w:val="16"/>
                <w:szCs w:val="16"/>
                <w:highlight w:val="magenta"/>
                <w:lang w:val="es-CO" w:eastAsia="es-CO"/>
              </w:rPr>
              <w:t>Se Actualizo la Resolución 0186 de 2019</w:t>
            </w:r>
            <w:r>
              <w:rPr>
                <w:rFonts w:asciiTheme="majorHAnsi" w:eastAsia="Times New Roman" w:hAnsiTheme="majorHAnsi" w:cstheme="majorHAnsi"/>
                <w:color w:val="000000"/>
                <w:sz w:val="16"/>
                <w:szCs w:val="16"/>
                <w:lang w:val="es-CO" w:eastAsia="es-CO"/>
              </w:rPr>
              <w:t xml:space="preserve"> </w:t>
            </w:r>
          </w:p>
          <w:p w14:paraId="4C8BF3A7" w14:textId="77777777" w:rsidR="00B546D7" w:rsidRDefault="00B546D7" w:rsidP="000F099B">
            <w:pPr>
              <w:rPr>
                <w:rFonts w:asciiTheme="majorHAnsi" w:eastAsia="Times New Roman" w:hAnsiTheme="majorHAnsi" w:cstheme="majorHAnsi"/>
                <w:color w:val="000000"/>
                <w:sz w:val="16"/>
                <w:szCs w:val="16"/>
                <w:lang w:val="es-CO" w:eastAsia="es-CO"/>
              </w:rPr>
            </w:pPr>
          </w:p>
          <w:p w14:paraId="300F25B6" w14:textId="77777777" w:rsidR="007F5968" w:rsidRPr="00E305B4" w:rsidRDefault="001E6000"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En la Resolución 0186 de 2019</w:t>
            </w:r>
            <w:r w:rsidR="007F5968" w:rsidRPr="00E305B4">
              <w:rPr>
                <w:rFonts w:asciiTheme="majorHAnsi" w:eastAsia="Times New Roman" w:hAnsiTheme="majorHAnsi" w:cstheme="majorHAnsi"/>
                <w:color w:val="000000"/>
                <w:sz w:val="16"/>
                <w:szCs w:val="16"/>
                <w:lang w:val="es-CO" w:eastAsia="es-CO"/>
              </w:rPr>
              <w:t>, el director general aprueba la actualización de la política de seguridad de la información, la cual incluye: objetivos de la seguridad de la información, alcance, políticas específicas, responsables.</w:t>
            </w:r>
          </w:p>
        </w:tc>
        <w:tc>
          <w:tcPr>
            <w:tcW w:w="1038" w:type="dxa"/>
            <w:shd w:val="clear" w:color="000000" w:fill="00B0F0"/>
            <w:noWrap/>
            <w:vAlign w:val="center"/>
            <w:hideMark/>
          </w:tcPr>
          <w:p w14:paraId="50267B00"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6F499E91" w14:textId="77777777" w:rsidR="007F5968" w:rsidRPr="00E305B4" w:rsidRDefault="00B546D7"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8</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76550C45" w14:textId="77777777" w:rsidR="007F5968" w:rsidRPr="00E305B4" w:rsidRDefault="00B546D7" w:rsidP="000F099B">
            <w:pPr>
              <w:rPr>
                <w:rFonts w:asciiTheme="majorHAnsi" w:eastAsia="Times New Roman" w:hAnsiTheme="majorHAnsi" w:cstheme="majorHAnsi"/>
                <w:color w:val="000000"/>
                <w:sz w:val="16"/>
                <w:szCs w:val="16"/>
                <w:lang w:val="es-CO" w:eastAsia="es-CO"/>
              </w:rPr>
            </w:pPr>
            <w:r w:rsidRPr="00B546D7">
              <w:rPr>
                <w:rFonts w:asciiTheme="majorHAnsi" w:eastAsia="Times New Roman" w:hAnsiTheme="majorHAnsi" w:cstheme="majorHAnsi"/>
                <w:color w:val="000000"/>
                <w:sz w:val="16"/>
                <w:szCs w:val="16"/>
                <w:highlight w:val="magenta"/>
                <w:lang w:val="es-CO" w:eastAsia="es-CO"/>
              </w:rPr>
              <w:t>Se actualizo la resolución y esta adecuada a los requisitos de la NTC 2001 de 2013 donde se incluyen los objetivos y se garantiza los lineamientos de MinTic</w:t>
            </w:r>
            <w:r>
              <w:rPr>
                <w:rFonts w:asciiTheme="majorHAnsi" w:eastAsia="Times New Roman" w:hAnsiTheme="majorHAnsi" w:cstheme="majorHAnsi"/>
                <w:color w:val="000000"/>
                <w:sz w:val="16"/>
                <w:szCs w:val="16"/>
                <w:lang w:val="es-CO" w:eastAsia="es-CO"/>
              </w:rPr>
              <w:t xml:space="preserve"> </w:t>
            </w:r>
          </w:p>
        </w:tc>
        <w:tc>
          <w:tcPr>
            <w:tcW w:w="1763" w:type="dxa"/>
          </w:tcPr>
          <w:p w14:paraId="37C4ACFA"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2DB8931C" w14:textId="77777777" w:rsidTr="007F5968">
        <w:trPr>
          <w:trHeight w:val="20"/>
        </w:trPr>
        <w:tc>
          <w:tcPr>
            <w:tcW w:w="840" w:type="dxa"/>
            <w:shd w:val="clear" w:color="auto" w:fill="auto"/>
            <w:vAlign w:val="center"/>
            <w:hideMark/>
          </w:tcPr>
          <w:p w14:paraId="4202601B"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5.2 (b)</w:t>
            </w:r>
          </w:p>
        </w:tc>
        <w:tc>
          <w:tcPr>
            <w:tcW w:w="1854" w:type="dxa"/>
            <w:vMerge/>
            <w:vAlign w:val="center"/>
            <w:hideMark/>
          </w:tcPr>
          <w:p w14:paraId="702DBCCE"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25B1123D"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incluya objetivos de seguridad de la información (véase 6.2) o proporcione el marco de referencia para el establecimiento de los objetivos de la seguridad de la información</w:t>
            </w:r>
          </w:p>
        </w:tc>
        <w:tc>
          <w:tcPr>
            <w:tcW w:w="1368" w:type="dxa"/>
            <w:shd w:val="clear" w:color="000000" w:fill="008000"/>
            <w:vAlign w:val="center"/>
            <w:hideMark/>
          </w:tcPr>
          <w:p w14:paraId="15157B1D"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7420CFEA" w14:textId="77777777" w:rsidR="00B546D7" w:rsidRDefault="00B546D7" w:rsidP="00B546D7">
            <w:pPr>
              <w:rPr>
                <w:rFonts w:asciiTheme="majorHAnsi" w:eastAsia="Times New Roman" w:hAnsiTheme="majorHAnsi" w:cstheme="majorHAnsi"/>
                <w:color w:val="000000"/>
                <w:sz w:val="16"/>
                <w:szCs w:val="16"/>
                <w:lang w:val="es-CO" w:eastAsia="es-CO"/>
              </w:rPr>
            </w:pPr>
            <w:r w:rsidRPr="00B546D7">
              <w:rPr>
                <w:rFonts w:asciiTheme="majorHAnsi" w:eastAsia="Times New Roman" w:hAnsiTheme="majorHAnsi" w:cstheme="majorHAnsi"/>
                <w:color w:val="000000"/>
                <w:sz w:val="16"/>
                <w:szCs w:val="16"/>
                <w:highlight w:val="magenta"/>
                <w:lang w:val="es-CO" w:eastAsia="es-CO"/>
              </w:rPr>
              <w:t>Se Actualizo la Resolución 0186 de 2019</w:t>
            </w:r>
            <w:r>
              <w:rPr>
                <w:rFonts w:asciiTheme="majorHAnsi" w:eastAsia="Times New Roman" w:hAnsiTheme="majorHAnsi" w:cstheme="majorHAnsi"/>
                <w:color w:val="000000"/>
                <w:sz w:val="16"/>
                <w:szCs w:val="16"/>
                <w:lang w:val="es-CO" w:eastAsia="es-CO"/>
              </w:rPr>
              <w:t xml:space="preserve"> </w:t>
            </w:r>
          </w:p>
          <w:p w14:paraId="29D52FAE" w14:textId="77777777" w:rsidR="00B546D7" w:rsidRDefault="00B546D7" w:rsidP="000F099B">
            <w:pPr>
              <w:rPr>
                <w:rFonts w:asciiTheme="majorHAnsi" w:eastAsia="Times New Roman" w:hAnsiTheme="majorHAnsi" w:cstheme="majorHAnsi"/>
                <w:color w:val="000000"/>
                <w:sz w:val="16"/>
                <w:szCs w:val="16"/>
                <w:lang w:val="es-CO" w:eastAsia="es-CO"/>
              </w:rPr>
            </w:pPr>
          </w:p>
          <w:p w14:paraId="729300CC" w14:textId="77777777" w:rsidR="007F5968" w:rsidRPr="00E305B4" w:rsidRDefault="001E6000"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En la Resolución 0186 de 2019</w:t>
            </w:r>
            <w:r w:rsidR="007F5968" w:rsidRPr="00E305B4">
              <w:rPr>
                <w:rFonts w:asciiTheme="majorHAnsi" w:eastAsia="Times New Roman" w:hAnsiTheme="majorHAnsi" w:cstheme="majorHAnsi"/>
                <w:color w:val="000000"/>
                <w:sz w:val="16"/>
                <w:szCs w:val="16"/>
                <w:lang w:val="es-CO" w:eastAsia="es-CO"/>
              </w:rPr>
              <w:t>, el director general aprueba la actualización de la política de seguridad de la información, la cual incluye: objetivos de la seguridad de la información, alcance, políticas específicas, responsables.</w:t>
            </w:r>
          </w:p>
        </w:tc>
        <w:tc>
          <w:tcPr>
            <w:tcW w:w="1038" w:type="dxa"/>
            <w:shd w:val="clear" w:color="000000" w:fill="00B0F0"/>
            <w:noWrap/>
            <w:vAlign w:val="center"/>
            <w:hideMark/>
          </w:tcPr>
          <w:p w14:paraId="0C92831B"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6BBC52FC" w14:textId="77777777" w:rsidR="007F5968" w:rsidRPr="00E305B4" w:rsidRDefault="00B546D7"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8</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32C885E2" w14:textId="77777777" w:rsidR="00B546D7" w:rsidRDefault="00B546D7" w:rsidP="000F099B">
            <w:pPr>
              <w:rPr>
                <w:rFonts w:asciiTheme="majorHAnsi" w:eastAsia="Times New Roman" w:hAnsiTheme="majorHAnsi" w:cstheme="majorHAnsi"/>
                <w:color w:val="000000"/>
                <w:sz w:val="16"/>
                <w:szCs w:val="16"/>
                <w:lang w:val="es-CO" w:eastAsia="es-CO"/>
              </w:rPr>
            </w:pPr>
            <w:r w:rsidRPr="00B546D7">
              <w:rPr>
                <w:rFonts w:asciiTheme="majorHAnsi" w:eastAsia="Times New Roman" w:hAnsiTheme="majorHAnsi" w:cstheme="majorHAnsi"/>
                <w:color w:val="000000"/>
                <w:sz w:val="16"/>
                <w:szCs w:val="16"/>
                <w:highlight w:val="magenta"/>
                <w:lang w:val="es-CO" w:eastAsia="es-CO"/>
              </w:rPr>
              <w:t>Se actualizo la resolución y esta adecuada a los requisitos de la NTC 2001 de 2013 donde se incluyen los objetivos y se garantiza los lineamientos de MinTic</w:t>
            </w:r>
            <w:r>
              <w:rPr>
                <w:rFonts w:asciiTheme="majorHAnsi" w:eastAsia="Times New Roman" w:hAnsiTheme="majorHAnsi" w:cstheme="majorHAnsi"/>
                <w:color w:val="000000"/>
                <w:sz w:val="16"/>
                <w:szCs w:val="16"/>
                <w:lang w:val="es-CO" w:eastAsia="es-CO"/>
              </w:rPr>
              <w:t>.</w:t>
            </w:r>
          </w:p>
          <w:p w14:paraId="51C4FE26" w14:textId="77777777" w:rsidR="00B546D7" w:rsidRDefault="00B546D7" w:rsidP="000F099B">
            <w:pPr>
              <w:rPr>
                <w:rFonts w:asciiTheme="majorHAnsi" w:eastAsia="Times New Roman" w:hAnsiTheme="majorHAnsi" w:cstheme="majorHAnsi"/>
                <w:color w:val="000000"/>
                <w:sz w:val="16"/>
                <w:szCs w:val="16"/>
                <w:lang w:val="es-CO" w:eastAsia="es-CO"/>
              </w:rPr>
            </w:pPr>
          </w:p>
          <w:p w14:paraId="0D56E9D9"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Revisar la Resolución 1463 de 2017 para garantizar que la política de seguridad de la información incluya objetivos acordes al propósito de la organización</w:t>
            </w:r>
          </w:p>
        </w:tc>
        <w:tc>
          <w:tcPr>
            <w:tcW w:w="1763" w:type="dxa"/>
          </w:tcPr>
          <w:p w14:paraId="5A55EED7"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359BB0D3" w14:textId="77777777" w:rsidTr="007F5968">
        <w:trPr>
          <w:trHeight w:val="20"/>
        </w:trPr>
        <w:tc>
          <w:tcPr>
            <w:tcW w:w="840" w:type="dxa"/>
            <w:shd w:val="clear" w:color="auto" w:fill="auto"/>
            <w:vAlign w:val="center"/>
            <w:hideMark/>
          </w:tcPr>
          <w:p w14:paraId="1CF06D52"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5.2 (c)</w:t>
            </w:r>
          </w:p>
        </w:tc>
        <w:tc>
          <w:tcPr>
            <w:tcW w:w="1854" w:type="dxa"/>
            <w:vMerge/>
            <w:vAlign w:val="center"/>
            <w:hideMark/>
          </w:tcPr>
          <w:p w14:paraId="4E9E9597"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34DDA18A"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incluya el compromiso de cumplir los requisitos aplicables relacionados con la seguridad de la información; y</w:t>
            </w:r>
          </w:p>
        </w:tc>
        <w:tc>
          <w:tcPr>
            <w:tcW w:w="1368" w:type="dxa"/>
            <w:shd w:val="clear" w:color="000000" w:fill="008000"/>
            <w:vAlign w:val="center"/>
            <w:hideMark/>
          </w:tcPr>
          <w:p w14:paraId="358B0340"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3108791B" w14:textId="77777777" w:rsidR="00B546D7" w:rsidRDefault="00B546D7" w:rsidP="00B546D7">
            <w:pPr>
              <w:rPr>
                <w:rFonts w:asciiTheme="majorHAnsi" w:eastAsia="Times New Roman" w:hAnsiTheme="majorHAnsi" w:cstheme="majorHAnsi"/>
                <w:color w:val="000000"/>
                <w:sz w:val="16"/>
                <w:szCs w:val="16"/>
                <w:lang w:val="es-CO" w:eastAsia="es-CO"/>
              </w:rPr>
            </w:pPr>
            <w:r w:rsidRPr="00B546D7">
              <w:rPr>
                <w:rFonts w:asciiTheme="majorHAnsi" w:eastAsia="Times New Roman" w:hAnsiTheme="majorHAnsi" w:cstheme="majorHAnsi"/>
                <w:color w:val="000000"/>
                <w:sz w:val="16"/>
                <w:szCs w:val="16"/>
                <w:highlight w:val="magenta"/>
                <w:lang w:val="es-CO" w:eastAsia="es-CO"/>
              </w:rPr>
              <w:t>Se Actualizo la Resolución 0186 de 2019</w:t>
            </w:r>
            <w:r>
              <w:rPr>
                <w:rFonts w:asciiTheme="majorHAnsi" w:eastAsia="Times New Roman" w:hAnsiTheme="majorHAnsi" w:cstheme="majorHAnsi"/>
                <w:color w:val="000000"/>
                <w:sz w:val="16"/>
                <w:szCs w:val="16"/>
                <w:lang w:val="es-CO" w:eastAsia="es-CO"/>
              </w:rPr>
              <w:t xml:space="preserve"> </w:t>
            </w:r>
          </w:p>
          <w:p w14:paraId="2D1AC5E5" w14:textId="77777777" w:rsidR="00B546D7" w:rsidRDefault="00B546D7" w:rsidP="000F099B">
            <w:pPr>
              <w:rPr>
                <w:rFonts w:asciiTheme="majorHAnsi" w:eastAsia="Times New Roman" w:hAnsiTheme="majorHAnsi" w:cstheme="majorHAnsi"/>
                <w:color w:val="000000"/>
                <w:sz w:val="16"/>
                <w:szCs w:val="16"/>
                <w:lang w:val="es-CO" w:eastAsia="es-CO"/>
              </w:rPr>
            </w:pPr>
          </w:p>
          <w:p w14:paraId="7726A7CC" w14:textId="77777777" w:rsidR="007F5968" w:rsidRPr="00E305B4" w:rsidRDefault="001E6000"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En la Resolución 0186 de 2019</w:t>
            </w:r>
            <w:r w:rsidR="007F5968" w:rsidRPr="00E305B4">
              <w:rPr>
                <w:rFonts w:asciiTheme="majorHAnsi" w:eastAsia="Times New Roman" w:hAnsiTheme="majorHAnsi" w:cstheme="majorHAnsi"/>
                <w:color w:val="000000"/>
                <w:sz w:val="16"/>
                <w:szCs w:val="16"/>
                <w:lang w:val="es-CO" w:eastAsia="es-CO"/>
              </w:rPr>
              <w:t>, el director general aprueba la actualización de la política de seguridad de la información, la cual incluye: objetivos de la seguridad de la información, alcance, políticas específicas, responsables.</w:t>
            </w:r>
          </w:p>
        </w:tc>
        <w:tc>
          <w:tcPr>
            <w:tcW w:w="1038" w:type="dxa"/>
            <w:shd w:val="clear" w:color="000000" w:fill="00B0F0"/>
            <w:noWrap/>
            <w:vAlign w:val="center"/>
            <w:hideMark/>
          </w:tcPr>
          <w:p w14:paraId="21003380"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1FC468AE" w14:textId="77777777" w:rsidR="007F5968" w:rsidRPr="00E305B4" w:rsidRDefault="00B546D7"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8</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4CF09102" w14:textId="77777777" w:rsidR="00B546D7" w:rsidRDefault="00B546D7" w:rsidP="00B546D7">
            <w:pPr>
              <w:rPr>
                <w:rFonts w:asciiTheme="majorHAnsi" w:eastAsia="Times New Roman" w:hAnsiTheme="majorHAnsi" w:cstheme="majorHAnsi"/>
                <w:color w:val="000000"/>
                <w:sz w:val="16"/>
                <w:szCs w:val="16"/>
                <w:lang w:val="es-CO" w:eastAsia="es-CO"/>
              </w:rPr>
            </w:pPr>
            <w:r w:rsidRPr="00B546D7">
              <w:rPr>
                <w:rFonts w:asciiTheme="majorHAnsi" w:eastAsia="Times New Roman" w:hAnsiTheme="majorHAnsi" w:cstheme="majorHAnsi"/>
                <w:color w:val="000000"/>
                <w:sz w:val="16"/>
                <w:szCs w:val="16"/>
                <w:highlight w:val="magenta"/>
                <w:lang w:val="es-CO" w:eastAsia="es-CO"/>
              </w:rPr>
              <w:t>Se actualizo la resolución y esta adecuada a los requisitos de la NTC 2001 de 2013 donde se incluyen los objetivos y se garantiza los lineamientos de MinTic</w:t>
            </w:r>
            <w:r>
              <w:rPr>
                <w:rFonts w:asciiTheme="majorHAnsi" w:eastAsia="Times New Roman" w:hAnsiTheme="majorHAnsi" w:cstheme="majorHAnsi"/>
                <w:color w:val="000000"/>
                <w:sz w:val="16"/>
                <w:szCs w:val="16"/>
                <w:lang w:val="es-CO" w:eastAsia="es-CO"/>
              </w:rPr>
              <w:t>.</w:t>
            </w:r>
          </w:p>
          <w:p w14:paraId="43F7E39A" w14:textId="77777777" w:rsidR="00B546D7" w:rsidRDefault="00B546D7" w:rsidP="000F099B">
            <w:pPr>
              <w:rPr>
                <w:rFonts w:asciiTheme="majorHAnsi" w:eastAsia="Times New Roman" w:hAnsiTheme="majorHAnsi" w:cstheme="majorHAnsi"/>
                <w:color w:val="000000"/>
                <w:sz w:val="16"/>
                <w:szCs w:val="16"/>
                <w:lang w:val="es-CO" w:eastAsia="es-CO"/>
              </w:rPr>
            </w:pPr>
          </w:p>
          <w:p w14:paraId="17E357AD"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Revisar la Resolución 1463 de 2017 para garantizar que la política de seguridad de la información incluya el compromiso de cumplir los requisitos aplicables relacionados con la seguridad de la información</w:t>
            </w:r>
          </w:p>
        </w:tc>
        <w:tc>
          <w:tcPr>
            <w:tcW w:w="1763" w:type="dxa"/>
          </w:tcPr>
          <w:p w14:paraId="07A73B54"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0733AC7D" w14:textId="77777777" w:rsidTr="007F5968">
        <w:trPr>
          <w:trHeight w:val="20"/>
        </w:trPr>
        <w:tc>
          <w:tcPr>
            <w:tcW w:w="840" w:type="dxa"/>
            <w:shd w:val="clear" w:color="auto" w:fill="auto"/>
            <w:vAlign w:val="center"/>
            <w:hideMark/>
          </w:tcPr>
          <w:p w14:paraId="30DB680B"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5.2 (d)</w:t>
            </w:r>
          </w:p>
        </w:tc>
        <w:tc>
          <w:tcPr>
            <w:tcW w:w="1854" w:type="dxa"/>
            <w:vMerge/>
            <w:vAlign w:val="center"/>
            <w:hideMark/>
          </w:tcPr>
          <w:p w14:paraId="6C333C38"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049A2277"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incluya el compromiso de mejora </w:t>
            </w:r>
            <w:r w:rsidRPr="00E305B4">
              <w:rPr>
                <w:rFonts w:asciiTheme="majorHAnsi" w:eastAsia="Times New Roman" w:hAnsiTheme="majorHAnsi" w:cstheme="majorHAnsi"/>
                <w:color w:val="000000"/>
                <w:sz w:val="16"/>
                <w:szCs w:val="16"/>
                <w:lang w:val="es-CO" w:eastAsia="es-CO"/>
              </w:rPr>
              <w:lastRenderedPageBreak/>
              <w:t>continua del sistema de gestión de la seguridad de la información.</w:t>
            </w:r>
          </w:p>
        </w:tc>
        <w:tc>
          <w:tcPr>
            <w:tcW w:w="1368" w:type="dxa"/>
            <w:shd w:val="clear" w:color="000000" w:fill="008000"/>
            <w:vAlign w:val="center"/>
            <w:hideMark/>
          </w:tcPr>
          <w:p w14:paraId="2828D4EC"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lastRenderedPageBreak/>
              <w:t>SI</w:t>
            </w:r>
          </w:p>
        </w:tc>
        <w:tc>
          <w:tcPr>
            <w:tcW w:w="3246" w:type="dxa"/>
            <w:shd w:val="clear" w:color="auto" w:fill="auto"/>
            <w:vAlign w:val="center"/>
            <w:hideMark/>
          </w:tcPr>
          <w:p w14:paraId="417D2339" w14:textId="77777777" w:rsidR="00B546D7" w:rsidRDefault="00B546D7" w:rsidP="000F099B">
            <w:pPr>
              <w:rPr>
                <w:rFonts w:asciiTheme="majorHAnsi" w:eastAsia="Times New Roman" w:hAnsiTheme="majorHAnsi" w:cstheme="majorHAnsi"/>
                <w:color w:val="000000"/>
                <w:sz w:val="16"/>
                <w:szCs w:val="16"/>
                <w:lang w:val="es-CO" w:eastAsia="es-CO"/>
              </w:rPr>
            </w:pPr>
          </w:p>
          <w:p w14:paraId="78BD121A" w14:textId="77777777" w:rsidR="00B546D7" w:rsidRDefault="00B546D7" w:rsidP="00B546D7">
            <w:pPr>
              <w:rPr>
                <w:rFonts w:asciiTheme="majorHAnsi" w:eastAsia="Times New Roman" w:hAnsiTheme="majorHAnsi" w:cstheme="majorHAnsi"/>
                <w:color w:val="000000"/>
                <w:sz w:val="16"/>
                <w:szCs w:val="16"/>
                <w:lang w:val="es-CO" w:eastAsia="es-CO"/>
              </w:rPr>
            </w:pPr>
            <w:r w:rsidRPr="00B546D7">
              <w:rPr>
                <w:rFonts w:asciiTheme="majorHAnsi" w:eastAsia="Times New Roman" w:hAnsiTheme="majorHAnsi" w:cstheme="majorHAnsi"/>
                <w:color w:val="000000"/>
                <w:sz w:val="16"/>
                <w:szCs w:val="16"/>
                <w:highlight w:val="magenta"/>
                <w:lang w:val="es-CO" w:eastAsia="es-CO"/>
              </w:rPr>
              <w:lastRenderedPageBreak/>
              <w:t>Se Actualizo la Resolución 0186 de 2019</w:t>
            </w:r>
            <w:r>
              <w:rPr>
                <w:rFonts w:asciiTheme="majorHAnsi" w:eastAsia="Times New Roman" w:hAnsiTheme="majorHAnsi" w:cstheme="majorHAnsi"/>
                <w:color w:val="000000"/>
                <w:sz w:val="16"/>
                <w:szCs w:val="16"/>
                <w:lang w:val="es-CO" w:eastAsia="es-CO"/>
              </w:rPr>
              <w:t xml:space="preserve"> </w:t>
            </w:r>
          </w:p>
          <w:p w14:paraId="086C6BD4" w14:textId="77777777" w:rsidR="00B546D7" w:rsidRDefault="00B546D7" w:rsidP="00B546D7">
            <w:pPr>
              <w:rPr>
                <w:rFonts w:asciiTheme="majorHAnsi" w:eastAsia="Times New Roman" w:hAnsiTheme="majorHAnsi" w:cstheme="majorHAnsi"/>
                <w:color w:val="000000"/>
                <w:sz w:val="16"/>
                <w:szCs w:val="16"/>
                <w:lang w:val="es-CO" w:eastAsia="es-CO"/>
              </w:rPr>
            </w:pPr>
          </w:p>
          <w:p w14:paraId="42716B93" w14:textId="77777777" w:rsidR="007F5968" w:rsidRPr="00E305B4" w:rsidRDefault="001E6000"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En la Resolución 0186 de 2019</w:t>
            </w:r>
            <w:r w:rsidR="007F5968" w:rsidRPr="00E305B4">
              <w:rPr>
                <w:rFonts w:asciiTheme="majorHAnsi" w:eastAsia="Times New Roman" w:hAnsiTheme="majorHAnsi" w:cstheme="majorHAnsi"/>
                <w:color w:val="000000"/>
                <w:sz w:val="16"/>
                <w:szCs w:val="16"/>
                <w:lang w:val="es-CO" w:eastAsia="es-CO"/>
              </w:rPr>
              <w:t>, el director general aprueba la actualización de la política de seguridad de la información, la cual incluye: objetivos de la seguridad de la información, alcance, políticas específicas, responsables.</w:t>
            </w:r>
          </w:p>
        </w:tc>
        <w:tc>
          <w:tcPr>
            <w:tcW w:w="1038" w:type="dxa"/>
            <w:shd w:val="clear" w:color="000000" w:fill="00B0F0"/>
            <w:noWrap/>
            <w:vAlign w:val="center"/>
            <w:hideMark/>
          </w:tcPr>
          <w:p w14:paraId="1438ABCA"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lastRenderedPageBreak/>
              <w:t>Definido</w:t>
            </w:r>
          </w:p>
        </w:tc>
        <w:tc>
          <w:tcPr>
            <w:tcW w:w="850" w:type="dxa"/>
            <w:shd w:val="clear" w:color="auto" w:fill="auto"/>
            <w:noWrap/>
            <w:vAlign w:val="center"/>
            <w:hideMark/>
          </w:tcPr>
          <w:p w14:paraId="5D231F80" w14:textId="77777777" w:rsidR="007F5968" w:rsidRPr="00E305B4" w:rsidRDefault="00B546D7"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8</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277C5768" w14:textId="77777777" w:rsidR="00B546D7" w:rsidRDefault="00B546D7" w:rsidP="000F099B">
            <w:pPr>
              <w:rPr>
                <w:rFonts w:asciiTheme="majorHAnsi" w:eastAsia="Times New Roman" w:hAnsiTheme="majorHAnsi" w:cstheme="majorHAnsi"/>
                <w:color w:val="000000"/>
                <w:sz w:val="16"/>
                <w:szCs w:val="16"/>
                <w:lang w:val="es-CO" w:eastAsia="es-CO"/>
              </w:rPr>
            </w:pPr>
          </w:p>
          <w:p w14:paraId="6831E574" w14:textId="77777777" w:rsidR="00B546D7" w:rsidRDefault="00B546D7" w:rsidP="00B546D7">
            <w:pPr>
              <w:rPr>
                <w:rFonts w:asciiTheme="majorHAnsi" w:eastAsia="Times New Roman" w:hAnsiTheme="majorHAnsi" w:cstheme="majorHAnsi"/>
                <w:color w:val="000000"/>
                <w:sz w:val="16"/>
                <w:szCs w:val="16"/>
                <w:lang w:val="es-CO" w:eastAsia="es-CO"/>
              </w:rPr>
            </w:pPr>
            <w:r w:rsidRPr="00B546D7">
              <w:rPr>
                <w:rFonts w:asciiTheme="majorHAnsi" w:eastAsia="Times New Roman" w:hAnsiTheme="majorHAnsi" w:cstheme="majorHAnsi"/>
                <w:color w:val="000000"/>
                <w:sz w:val="16"/>
                <w:szCs w:val="16"/>
                <w:highlight w:val="magenta"/>
                <w:lang w:val="es-CO" w:eastAsia="es-CO"/>
              </w:rPr>
              <w:lastRenderedPageBreak/>
              <w:t>Se actualizo la resolución y esta adecuada a los requisitos de la NTC 2001 de 2013 donde se incluyen los objetivos y se garantiza los lineamientos de MinTic</w:t>
            </w:r>
            <w:r>
              <w:rPr>
                <w:rFonts w:asciiTheme="majorHAnsi" w:eastAsia="Times New Roman" w:hAnsiTheme="majorHAnsi" w:cstheme="majorHAnsi"/>
                <w:color w:val="000000"/>
                <w:sz w:val="16"/>
                <w:szCs w:val="16"/>
                <w:lang w:val="es-CO" w:eastAsia="es-CO"/>
              </w:rPr>
              <w:t>.</w:t>
            </w:r>
          </w:p>
          <w:p w14:paraId="5D3C8794" w14:textId="77777777" w:rsidR="00B546D7" w:rsidRDefault="00B546D7" w:rsidP="000F099B">
            <w:pPr>
              <w:rPr>
                <w:rFonts w:asciiTheme="majorHAnsi" w:eastAsia="Times New Roman" w:hAnsiTheme="majorHAnsi" w:cstheme="majorHAnsi"/>
                <w:color w:val="000000"/>
                <w:sz w:val="16"/>
                <w:szCs w:val="16"/>
                <w:lang w:val="es-CO" w:eastAsia="es-CO"/>
              </w:rPr>
            </w:pPr>
          </w:p>
          <w:p w14:paraId="762A1CF1"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Revisar la Resolución 1463 de 2017 para garantizar que la política de seguridad de la información incluya el compromiso de mejora continua del sistema de gestión de la seguridad de la información.</w:t>
            </w:r>
          </w:p>
        </w:tc>
        <w:tc>
          <w:tcPr>
            <w:tcW w:w="1763" w:type="dxa"/>
          </w:tcPr>
          <w:p w14:paraId="48A54422"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5F2D4E0B" w14:textId="77777777" w:rsidTr="007F5968">
        <w:trPr>
          <w:trHeight w:val="20"/>
        </w:trPr>
        <w:tc>
          <w:tcPr>
            <w:tcW w:w="840" w:type="dxa"/>
            <w:shd w:val="clear" w:color="auto" w:fill="auto"/>
            <w:vAlign w:val="center"/>
            <w:hideMark/>
          </w:tcPr>
          <w:p w14:paraId="646CEC9B"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5.2 (e)</w:t>
            </w:r>
          </w:p>
        </w:tc>
        <w:tc>
          <w:tcPr>
            <w:tcW w:w="1854" w:type="dxa"/>
            <w:vMerge w:val="restart"/>
            <w:shd w:val="clear" w:color="auto" w:fill="auto"/>
            <w:vAlign w:val="center"/>
            <w:hideMark/>
          </w:tcPr>
          <w:p w14:paraId="41BDF52A"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política de la seguridad de la información debe:</w:t>
            </w:r>
          </w:p>
        </w:tc>
        <w:tc>
          <w:tcPr>
            <w:tcW w:w="2551" w:type="dxa"/>
            <w:shd w:val="clear" w:color="auto" w:fill="auto"/>
            <w:vAlign w:val="center"/>
            <w:hideMark/>
          </w:tcPr>
          <w:p w14:paraId="2F731397"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estar disponible como información documentada</w:t>
            </w:r>
          </w:p>
        </w:tc>
        <w:tc>
          <w:tcPr>
            <w:tcW w:w="1368" w:type="dxa"/>
            <w:shd w:val="clear" w:color="000000" w:fill="008000"/>
            <w:vAlign w:val="center"/>
            <w:hideMark/>
          </w:tcPr>
          <w:p w14:paraId="6CC35EB2"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1E14C083" w14:textId="77777777" w:rsidR="00B546D7" w:rsidRDefault="00B546D7" w:rsidP="00B546D7">
            <w:pPr>
              <w:rPr>
                <w:rFonts w:asciiTheme="majorHAnsi" w:eastAsia="Times New Roman" w:hAnsiTheme="majorHAnsi" w:cstheme="majorHAnsi"/>
                <w:color w:val="000000"/>
                <w:sz w:val="16"/>
                <w:szCs w:val="16"/>
                <w:lang w:val="es-CO" w:eastAsia="es-CO"/>
              </w:rPr>
            </w:pPr>
            <w:r w:rsidRPr="00B546D7">
              <w:rPr>
                <w:rFonts w:asciiTheme="majorHAnsi" w:eastAsia="Times New Roman" w:hAnsiTheme="majorHAnsi" w:cstheme="majorHAnsi"/>
                <w:color w:val="000000"/>
                <w:sz w:val="16"/>
                <w:szCs w:val="16"/>
                <w:highlight w:val="magenta"/>
                <w:lang w:val="es-CO" w:eastAsia="es-CO"/>
              </w:rPr>
              <w:t>Se Actualizo la Resolución 0186 de 2019</w:t>
            </w:r>
            <w:r>
              <w:rPr>
                <w:rFonts w:asciiTheme="majorHAnsi" w:eastAsia="Times New Roman" w:hAnsiTheme="majorHAnsi" w:cstheme="majorHAnsi"/>
                <w:color w:val="000000"/>
                <w:sz w:val="16"/>
                <w:szCs w:val="16"/>
                <w:lang w:val="es-CO" w:eastAsia="es-CO"/>
              </w:rPr>
              <w:t xml:space="preserve"> </w:t>
            </w:r>
          </w:p>
          <w:p w14:paraId="1D2A2028" w14:textId="77777777" w:rsidR="00B546D7" w:rsidRDefault="00B546D7" w:rsidP="000F099B">
            <w:pPr>
              <w:rPr>
                <w:rFonts w:asciiTheme="majorHAnsi" w:eastAsia="Times New Roman" w:hAnsiTheme="majorHAnsi" w:cstheme="majorHAnsi"/>
                <w:color w:val="000000"/>
                <w:sz w:val="16"/>
                <w:szCs w:val="16"/>
                <w:lang w:val="es-CO" w:eastAsia="es-CO"/>
              </w:rPr>
            </w:pPr>
          </w:p>
          <w:p w14:paraId="74206BB4" w14:textId="77777777" w:rsidR="007F5968" w:rsidRPr="00E305B4" w:rsidRDefault="001E6000"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En la Resolución 0186 de 2019</w:t>
            </w:r>
            <w:r w:rsidR="007F5968" w:rsidRPr="00E305B4">
              <w:rPr>
                <w:rFonts w:asciiTheme="majorHAnsi" w:eastAsia="Times New Roman" w:hAnsiTheme="majorHAnsi" w:cstheme="majorHAnsi"/>
                <w:color w:val="000000"/>
                <w:sz w:val="16"/>
                <w:szCs w:val="16"/>
                <w:lang w:val="es-CO" w:eastAsia="es-CO"/>
              </w:rPr>
              <w:t>, el director general aprueba la actualización de la política de seguridad de la información, la cual incluye: objetivos de la seguridad de la información, alcance, políticas específicas, responsables.</w:t>
            </w:r>
          </w:p>
        </w:tc>
        <w:tc>
          <w:tcPr>
            <w:tcW w:w="1038" w:type="dxa"/>
            <w:shd w:val="clear" w:color="000000" w:fill="00B0F0"/>
            <w:noWrap/>
            <w:vAlign w:val="center"/>
            <w:hideMark/>
          </w:tcPr>
          <w:p w14:paraId="1AD0DC0B"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59964B04" w14:textId="77777777" w:rsidR="007F5968" w:rsidRPr="00E305B4" w:rsidRDefault="00B546D7"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10</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75C8BB0E"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Se debe garantizar que la política de seguridad de la información esté </w:t>
            </w:r>
            <w:r w:rsidR="00992986" w:rsidRPr="00E305B4">
              <w:rPr>
                <w:rFonts w:asciiTheme="majorHAnsi" w:eastAsia="Times New Roman" w:hAnsiTheme="majorHAnsi" w:cstheme="majorHAnsi"/>
                <w:color w:val="000000"/>
                <w:sz w:val="16"/>
                <w:szCs w:val="16"/>
                <w:lang w:val="es-CO" w:eastAsia="es-CO"/>
              </w:rPr>
              <w:t>disponible como</w:t>
            </w:r>
            <w:r w:rsidRPr="00E305B4">
              <w:rPr>
                <w:rFonts w:asciiTheme="majorHAnsi" w:eastAsia="Times New Roman" w:hAnsiTheme="majorHAnsi" w:cstheme="majorHAnsi"/>
                <w:color w:val="000000"/>
                <w:sz w:val="16"/>
                <w:szCs w:val="16"/>
                <w:lang w:val="es-CO" w:eastAsia="es-CO"/>
              </w:rPr>
              <w:t xml:space="preserve"> información documentada</w:t>
            </w:r>
          </w:p>
        </w:tc>
        <w:tc>
          <w:tcPr>
            <w:tcW w:w="1763" w:type="dxa"/>
          </w:tcPr>
          <w:p w14:paraId="30BD09CA" w14:textId="77777777" w:rsidR="007F5968" w:rsidRPr="00E305B4" w:rsidRDefault="00B546D7" w:rsidP="000F099B">
            <w:pPr>
              <w:rPr>
                <w:rFonts w:asciiTheme="majorHAnsi" w:eastAsia="Times New Roman" w:hAnsiTheme="majorHAnsi" w:cstheme="majorHAnsi"/>
                <w:color w:val="000000"/>
                <w:sz w:val="16"/>
                <w:szCs w:val="16"/>
                <w:lang w:val="es-CO" w:eastAsia="es-CO"/>
              </w:rPr>
            </w:pPr>
            <w:r w:rsidRPr="00B546D7">
              <w:rPr>
                <w:rFonts w:asciiTheme="majorHAnsi" w:eastAsia="Times New Roman" w:hAnsiTheme="majorHAnsi" w:cstheme="majorHAnsi"/>
                <w:color w:val="000000"/>
                <w:sz w:val="16"/>
                <w:szCs w:val="16"/>
                <w:highlight w:val="green"/>
                <w:lang w:val="es-CO" w:eastAsia="es-CO"/>
              </w:rPr>
              <w:t xml:space="preserve">Se publica en la </w:t>
            </w:r>
            <w:r w:rsidR="00992986" w:rsidRPr="00B546D7">
              <w:rPr>
                <w:rFonts w:asciiTheme="majorHAnsi" w:eastAsia="Times New Roman" w:hAnsiTheme="majorHAnsi" w:cstheme="majorHAnsi"/>
                <w:color w:val="000000"/>
                <w:sz w:val="16"/>
                <w:szCs w:val="16"/>
                <w:highlight w:val="green"/>
                <w:lang w:val="es-CO" w:eastAsia="es-CO"/>
              </w:rPr>
              <w:t>Intranet,</w:t>
            </w:r>
            <w:r w:rsidRPr="00B546D7">
              <w:rPr>
                <w:rFonts w:asciiTheme="majorHAnsi" w:eastAsia="Times New Roman" w:hAnsiTheme="majorHAnsi" w:cstheme="majorHAnsi"/>
                <w:color w:val="000000"/>
                <w:sz w:val="16"/>
                <w:szCs w:val="16"/>
                <w:highlight w:val="green"/>
                <w:lang w:val="es-CO" w:eastAsia="es-CO"/>
              </w:rPr>
              <w:t xml:space="preserve"> internet y se socializa</w:t>
            </w:r>
            <w:r>
              <w:rPr>
                <w:rFonts w:asciiTheme="majorHAnsi" w:eastAsia="Times New Roman" w:hAnsiTheme="majorHAnsi" w:cstheme="majorHAnsi"/>
                <w:color w:val="000000"/>
                <w:sz w:val="16"/>
                <w:szCs w:val="16"/>
                <w:lang w:val="es-CO" w:eastAsia="es-CO"/>
              </w:rPr>
              <w:t xml:space="preserve"> </w:t>
            </w:r>
          </w:p>
        </w:tc>
      </w:tr>
      <w:tr w:rsidR="00274728" w:rsidRPr="00E305B4" w14:paraId="42BF7BC5" w14:textId="77777777" w:rsidTr="007F5968">
        <w:trPr>
          <w:trHeight w:val="20"/>
        </w:trPr>
        <w:tc>
          <w:tcPr>
            <w:tcW w:w="840" w:type="dxa"/>
            <w:shd w:val="clear" w:color="auto" w:fill="auto"/>
            <w:vAlign w:val="center"/>
            <w:hideMark/>
          </w:tcPr>
          <w:p w14:paraId="6817D6A8"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5.2 (f)</w:t>
            </w:r>
          </w:p>
        </w:tc>
        <w:tc>
          <w:tcPr>
            <w:tcW w:w="1854" w:type="dxa"/>
            <w:vMerge/>
            <w:vAlign w:val="center"/>
            <w:hideMark/>
          </w:tcPr>
          <w:p w14:paraId="7592E2FD"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1F1AFCB2"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comunicarse dentro de la organización; y</w:t>
            </w:r>
          </w:p>
        </w:tc>
        <w:tc>
          <w:tcPr>
            <w:tcW w:w="1368" w:type="dxa"/>
            <w:shd w:val="clear" w:color="000000" w:fill="008000"/>
            <w:vAlign w:val="center"/>
            <w:hideMark/>
          </w:tcPr>
          <w:p w14:paraId="695D0B02"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317C3D78" w14:textId="77777777" w:rsidR="00B546D7" w:rsidRDefault="00B546D7" w:rsidP="00B546D7">
            <w:pPr>
              <w:rPr>
                <w:rFonts w:asciiTheme="majorHAnsi" w:eastAsia="Times New Roman" w:hAnsiTheme="majorHAnsi" w:cstheme="majorHAnsi"/>
                <w:color w:val="000000"/>
                <w:sz w:val="16"/>
                <w:szCs w:val="16"/>
                <w:lang w:val="es-CO" w:eastAsia="es-CO"/>
              </w:rPr>
            </w:pPr>
            <w:r w:rsidRPr="00B546D7">
              <w:rPr>
                <w:rFonts w:asciiTheme="majorHAnsi" w:eastAsia="Times New Roman" w:hAnsiTheme="majorHAnsi" w:cstheme="majorHAnsi"/>
                <w:color w:val="000000"/>
                <w:sz w:val="16"/>
                <w:szCs w:val="16"/>
                <w:highlight w:val="magenta"/>
                <w:lang w:val="es-CO" w:eastAsia="es-CO"/>
              </w:rPr>
              <w:t>Se Actualizo la Resolución 0186 de 2019</w:t>
            </w:r>
            <w:r>
              <w:rPr>
                <w:rFonts w:asciiTheme="majorHAnsi" w:eastAsia="Times New Roman" w:hAnsiTheme="majorHAnsi" w:cstheme="majorHAnsi"/>
                <w:color w:val="000000"/>
                <w:sz w:val="16"/>
                <w:szCs w:val="16"/>
                <w:lang w:val="es-CO" w:eastAsia="es-CO"/>
              </w:rPr>
              <w:t xml:space="preserve"> </w:t>
            </w:r>
          </w:p>
          <w:p w14:paraId="064EF419" w14:textId="77777777" w:rsidR="00B546D7" w:rsidRDefault="00B546D7" w:rsidP="000F099B">
            <w:pPr>
              <w:rPr>
                <w:rFonts w:asciiTheme="majorHAnsi" w:eastAsia="Times New Roman" w:hAnsiTheme="majorHAnsi" w:cstheme="majorHAnsi"/>
                <w:color w:val="000000"/>
                <w:sz w:val="16"/>
                <w:szCs w:val="16"/>
                <w:lang w:val="es-CO" w:eastAsia="es-CO"/>
              </w:rPr>
            </w:pPr>
          </w:p>
          <w:p w14:paraId="1DF70BD8" w14:textId="77777777" w:rsidR="007F5968" w:rsidRPr="00E305B4" w:rsidRDefault="001E6000"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En la Resolución 0186 de 2019</w:t>
            </w:r>
            <w:r w:rsidR="007F5968" w:rsidRPr="00E305B4">
              <w:rPr>
                <w:rFonts w:asciiTheme="majorHAnsi" w:eastAsia="Times New Roman" w:hAnsiTheme="majorHAnsi" w:cstheme="majorHAnsi"/>
                <w:color w:val="000000"/>
                <w:sz w:val="16"/>
                <w:szCs w:val="16"/>
                <w:lang w:val="es-CO" w:eastAsia="es-CO"/>
              </w:rPr>
              <w:t>, el director general aprueba la actualización de la política de seguridad de la información, la cual incluye: objetivos de la seguridad de la información, alcance, políticas específicas, responsables.</w:t>
            </w:r>
          </w:p>
        </w:tc>
        <w:tc>
          <w:tcPr>
            <w:tcW w:w="1038" w:type="dxa"/>
            <w:shd w:val="clear" w:color="000000" w:fill="00B0F0"/>
            <w:noWrap/>
            <w:vAlign w:val="center"/>
            <w:hideMark/>
          </w:tcPr>
          <w:p w14:paraId="298E301E"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4ED8AFC9" w14:textId="77777777" w:rsidR="007F5968" w:rsidRPr="00E305B4" w:rsidRDefault="00B546D7"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10</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69DC9765"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debe garantizar que la política de seguridad de la información se comunique adecuadamente dentro de la institución</w:t>
            </w:r>
          </w:p>
        </w:tc>
        <w:tc>
          <w:tcPr>
            <w:tcW w:w="1763" w:type="dxa"/>
          </w:tcPr>
          <w:p w14:paraId="4EA8F4AD" w14:textId="77777777" w:rsidR="007F5968" w:rsidRPr="00E305B4" w:rsidRDefault="00B546D7" w:rsidP="000F099B">
            <w:pPr>
              <w:rPr>
                <w:rFonts w:asciiTheme="majorHAnsi" w:eastAsia="Times New Roman" w:hAnsiTheme="majorHAnsi" w:cstheme="majorHAnsi"/>
                <w:color w:val="000000"/>
                <w:sz w:val="16"/>
                <w:szCs w:val="16"/>
                <w:lang w:val="es-CO" w:eastAsia="es-CO"/>
              </w:rPr>
            </w:pPr>
            <w:r w:rsidRPr="00B546D7">
              <w:rPr>
                <w:rFonts w:asciiTheme="majorHAnsi" w:eastAsia="Times New Roman" w:hAnsiTheme="majorHAnsi" w:cstheme="majorHAnsi"/>
                <w:color w:val="000000"/>
                <w:sz w:val="16"/>
                <w:szCs w:val="16"/>
                <w:highlight w:val="green"/>
                <w:lang w:val="es-CO" w:eastAsia="es-CO"/>
              </w:rPr>
              <w:t xml:space="preserve">Se publica en la </w:t>
            </w:r>
            <w:r w:rsidR="00992986" w:rsidRPr="00B546D7">
              <w:rPr>
                <w:rFonts w:asciiTheme="majorHAnsi" w:eastAsia="Times New Roman" w:hAnsiTheme="majorHAnsi" w:cstheme="majorHAnsi"/>
                <w:color w:val="000000"/>
                <w:sz w:val="16"/>
                <w:szCs w:val="16"/>
                <w:highlight w:val="green"/>
                <w:lang w:val="es-CO" w:eastAsia="es-CO"/>
              </w:rPr>
              <w:t>Intranet,</w:t>
            </w:r>
            <w:r w:rsidRPr="00B546D7">
              <w:rPr>
                <w:rFonts w:asciiTheme="majorHAnsi" w:eastAsia="Times New Roman" w:hAnsiTheme="majorHAnsi" w:cstheme="majorHAnsi"/>
                <w:color w:val="000000"/>
                <w:sz w:val="16"/>
                <w:szCs w:val="16"/>
                <w:highlight w:val="green"/>
                <w:lang w:val="es-CO" w:eastAsia="es-CO"/>
              </w:rPr>
              <w:t xml:space="preserve"> internet y se socializa</w:t>
            </w:r>
          </w:p>
        </w:tc>
      </w:tr>
      <w:tr w:rsidR="00274728" w:rsidRPr="00E305B4" w14:paraId="7C0DC64E" w14:textId="77777777" w:rsidTr="007F5968">
        <w:trPr>
          <w:trHeight w:val="20"/>
        </w:trPr>
        <w:tc>
          <w:tcPr>
            <w:tcW w:w="840" w:type="dxa"/>
            <w:shd w:val="clear" w:color="auto" w:fill="auto"/>
            <w:vAlign w:val="center"/>
            <w:hideMark/>
          </w:tcPr>
          <w:p w14:paraId="46FC161F"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5.2 (g)</w:t>
            </w:r>
          </w:p>
        </w:tc>
        <w:tc>
          <w:tcPr>
            <w:tcW w:w="1854" w:type="dxa"/>
            <w:vMerge/>
            <w:vAlign w:val="center"/>
            <w:hideMark/>
          </w:tcPr>
          <w:p w14:paraId="4FE99022"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4E4B3F45"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estar disponible para las partes interesadas, según sea apropiado.</w:t>
            </w:r>
          </w:p>
        </w:tc>
        <w:tc>
          <w:tcPr>
            <w:tcW w:w="1368" w:type="dxa"/>
            <w:shd w:val="clear" w:color="000000" w:fill="FFC000"/>
            <w:vAlign w:val="center"/>
            <w:hideMark/>
          </w:tcPr>
          <w:p w14:paraId="37C70884"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PARCIAL</w:t>
            </w:r>
          </w:p>
        </w:tc>
        <w:tc>
          <w:tcPr>
            <w:tcW w:w="3246" w:type="dxa"/>
            <w:shd w:val="clear" w:color="auto" w:fill="auto"/>
            <w:vAlign w:val="center"/>
            <w:hideMark/>
          </w:tcPr>
          <w:p w14:paraId="699E909C" w14:textId="77777777" w:rsidR="00B546D7" w:rsidRDefault="00B546D7" w:rsidP="00B546D7">
            <w:pPr>
              <w:rPr>
                <w:rFonts w:asciiTheme="majorHAnsi" w:eastAsia="Times New Roman" w:hAnsiTheme="majorHAnsi" w:cstheme="majorHAnsi"/>
                <w:color w:val="000000"/>
                <w:sz w:val="16"/>
                <w:szCs w:val="16"/>
                <w:lang w:val="es-CO" w:eastAsia="es-CO"/>
              </w:rPr>
            </w:pPr>
            <w:r w:rsidRPr="00B546D7">
              <w:rPr>
                <w:rFonts w:asciiTheme="majorHAnsi" w:eastAsia="Times New Roman" w:hAnsiTheme="majorHAnsi" w:cstheme="majorHAnsi"/>
                <w:color w:val="000000"/>
                <w:sz w:val="16"/>
                <w:szCs w:val="16"/>
                <w:highlight w:val="magenta"/>
                <w:lang w:val="es-CO" w:eastAsia="es-CO"/>
              </w:rPr>
              <w:t>Se Actualizo la Resolución 0186 de 2019</w:t>
            </w:r>
            <w:r>
              <w:rPr>
                <w:rFonts w:asciiTheme="majorHAnsi" w:eastAsia="Times New Roman" w:hAnsiTheme="majorHAnsi" w:cstheme="majorHAnsi"/>
                <w:color w:val="000000"/>
                <w:sz w:val="16"/>
                <w:szCs w:val="16"/>
                <w:lang w:val="es-CO" w:eastAsia="es-CO"/>
              </w:rPr>
              <w:t xml:space="preserve"> </w:t>
            </w:r>
          </w:p>
          <w:p w14:paraId="031E96A7" w14:textId="77777777" w:rsidR="00B546D7" w:rsidRDefault="00B546D7" w:rsidP="000F099B">
            <w:pPr>
              <w:rPr>
                <w:rFonts w:asciiTheme="majorHAnsi" w:eastAsia="Times New Roman" w:hAnsiTheme="majorHAnsi" w:cstheme="majorHAnsi"/>
                <w:color w:val="000000"/>
                <w:sz w:val="16"/>
                <w:szCs w:val="16"/>
                <w:lang w:val="es-CO" w:eastAsia="es-CO"/>
              </w:rPr>
            </w:pPr>
          </w:p>
          <w:p w14:paraId="47864050"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Resolución 1463 de 2017, únicamente se encuentra publicada a nivel interno, por lo que se debe dar a conocer a interesados a nivel externo.</w:t>
            </w:r>
          </w:p>
        </w:tc>
        <w:tc>
          <w:tcPr>
            <w:tcW w:w="1038" w:type="dxa"/>
            <w:shd w:val="clear" w:color="000000" w:fill="FFFF00"/>
            <w:noWrap/>
            <w:vAlign w:val="center"/>
            <w:hideMark/>
          </w:tcPr>
          <w:p w14:paraId="045E0706"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Repetible</w:t>
            </w:r>
          </w:p>
        </w:tc>
        <w:tc>
          <w:tcPr>
            <w:tcW w:w="850" w:type="dxa"/>
            <w:shd w:val="clear" w:color="auto" w:fill="auto"/>
            <w:noWrap/>
            <w:vAlign w:val="center"/>
            <w:hideMark/>
          </w:tcPr>
          <w:p w14:paraId="26402003" w14:textId="77777777" w:rsidR="007F5968" w:rsidRPr="00E305B4" w:rsidRDefault="00992986"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8</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0518DABA"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debe garantizar que la política de seguridad de la información esté disponible para las partes interesadas, por ejemplo: publicada en internet.</w:t>
            </w:r>
          </w:p>
        </w:tc>
        <w:tc>
          <w:tcPr>
            <w:tcW w:w="1763" w:type="dxa"/>
          </w:tcPr>
          <w:p w14:paraId="258BB790" w14:textId="77777777" w:rsidR="007F5968" w:rsidRPr="00E305B4" w:rsidRDefault="00B546D7" w:rsidP="000F099B">
            <w:pPr>
              <w:rPr>
                <w:rFonts w:asciiTheme="majorHAnsi" w:eastAsia="Times New Roman" w:hAnsiTheme="majorHAnsi" w:cstheme="majorHAnsi"/>
                <w:color w:val="000000"/>
                <w:sz w:val="16"/>
                <w:szCs w:val="16"/>
                <w:lang w:val="es-CO" w:eastAsia="es-CO"/>
              </w:rPr>
            </w:pPr>
            <w:r w:rsidRPr="00B546D7">
              <w:rPr>
                <w:rFonts w:asciiTheme="majorHAnsi" w:eastAsia="Times New Roman" w:hAnsiTheme="majorHAnsi" w:cstheme="majorHAnsi"/>
                <w:color w:val="000000"/>
                <w:sz w:val="16"/>
                <w:szCs w:val="16"/>
                <w:highlight w:val="green"/>
                <w:lang w:val="es-CO" w:eastAsia="es-CO"/>
              </w:rPr>
              <w:t xml:space="preserve">Se publica en la </w:t>
            </w:r>
            <w:r w:rsidR="00992986" w:rsidRPr="00B546D7">
              <w:rPr>
                <w:rFonts w:asciiTheme="majorHAnsi" w:eastAsia="Times New Roman" w:hAnsiTheme="majorHAnsi" w:cstheme="majorHAnsi"/>
                <w:color w:val="000000"/>
                <w:sz w:val="16"/>
                <w:szCs w:val="16"/>
                <w:highlight w:val="green"/>
                <w:lang w:val="es-CO" w:eastAsia="es-CO"/>
              </w:rPr>
              <w:t>Intranet,</w:t>
            </w:r>
            <w:r w:rsidRPr="00B546D7">
              <w:rPr>
                <w:rFonts w:asciiTheme="majorHAnsi" w:eastAsia="Times New Roman" w:hAnsiTheme="majorHAnsi" w:cstheme="majorHAnsi"/>
                <w:color w:val="000000"/>
                <w:sz w:val="16"/>
                <w:szCs w:val="16"/>
                <w:highlight w:val="green"/>
                <w:lang w:val="es-CO" w:eastAsia="es-CO"/>
              </w:rPr>
              <w:t xml:space="preserve"> internet y se socializa</w:t>
            </w:r>
          </w:p>
        </w:tc>
      </w:tr>
      <w:tr w:rsidR="00BC0293" w:rsidRPr="00E305B4" w14:paraId="41D14C9A" w14:textId="77777777" w:rsidTr="007F5968">
        <w:trPr>
          <w:trHeight w:val="20"/>
        </w:trPr>
        <w:tc>
          <w:tcPr>
            <w:tcW w:w="840" w:type="dxa"/>
            <w:shd w:val="clear" w:color="000000" w:fill="538DD5"/>
            <w:noWrap/>
            <w:vAlign w:val="center"/>
            <w:hideMark/>
          </w:tcPr>
          <w:p w14:paraId="377DAAFA"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5.3</w:t>
            </w:r>
          </w:p>
        </w:tc>
        <w:tc>
          <w:tcPr>
            <w:tcW w:w="10057" w:type="dxa"/>
            <w:gridSpan w:val="5"/>
            <w:shd w:val="clear" w:color="000000" w:fill="538DD5"/>
            <w:noWrap/>
            <w:vAlign w:val="center"/>
            <w:hideMark/>
          </w:tcPr>
          <w:p w14:paraId="6B151069"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Roles, responsabilidades y autoridades de la organización</w:t>
            </w:r>
          </w:p>
        </w:tc>
        <w:tc>
          <w:tcPr>
            <w:tcW w:w="850" w:type="dxa"/>
            <w:shd w:val="clear" w:color="000000" w:fill="538DD5"/>
            <w:noWrap/>
            <w:vAlign w:val="center"/>
            <w:hideMark/>
          </w:tcPr>
          <w:p w14:paraId="222372F3"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60%</w:t>
            </w:r>
          </w:p>
        </w:tc>
        <w:tc>
          <w:tcPr>
            <w:tcW w:w="3782" w:type="dxa"/>
            <w:shd w:val="clear" w:color="000000" w:fill="538DD5"/>
            <w:noWrap/>
            <w:vAlign w:val="center"/>
            <w:hideMark/>
          </w:tcPr>
          <w:p w14:paraId="44FD8FD8"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4E843AD1"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15825F33" w14:textId="77777777" w:rsidTr="007F5968">
        <w:trPr>
          <w:trHeight w:val="20"/>
        </w:trPr>
        <w:tc>
          <w:tcPr>
            <w:tcW w:w="840" w:type="dxa"/>
            <w:shd w:val="clear" w:color="auto" w:fill="auto"/>
            <w:vAlign w:val="center"/>
            <w:hideMark/>
          </w:tcPr>
          <w:p w14:paraId="15748045"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5.3 (a)</w:t>
            </w:r>
          </w:p>
        </w:tc>
        <w:tc>
          <w:tcPr>
            <w:tcW w:w="1854" w:type="dxa"/>
            <w:vMerge w:val="restart"/>
            <w:shd w:val="clear" w:color="auto" w:fill="auto"/>
            <w:vAlign w:val="center"/>
            <w:hideMark/>
          </w:tcPr>
          <w:p w14:paraId="3169A61E"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alta dirección debe asegurarse de que las responsabilidades y autoridades para los roles pertinentes se asignen y comuniquen.</w:t>
            </w:r>
            <w:r w:rsidRPr="00E305B4">
              <w:rPr>
                <w:rFonts w:asciiTheme="majorHAnsi" w:eastAsia="Times New Roman" w:hAnsiTheme="majorHAnsi" w:cstheme="majorHAnsi"/>
                <w:color w:val="000000"/>
                <w:sz w:val="16"/>
                <w:szCs w:val="16"/>
                <w:lang w:val="es-CO" w:eastAsia="es-CO"/>
              </w:rPr>
              <w:br/>
              <w:t xml:space="preserve">La alta dirección debe asignar la responsabilidad y </w:t>
            </w:r>
            <w:r w:rsidRPr="00E305B4">
              <w:rPr>
                <w:rFonts w:asciiTheme="majorHAnsi" w:eastAsia="Times New Roman" w:hAnsiTheme="majorHAnsi" w:cstheme="majorHAnsi"/>
                <w:color w:val="000000"/>
                <w:sz w:val="16"/>
                <w:szCs w:val="16"/>
                <w:lang w:val="es-CO" w:eastAsia="es-CO"/>
              </w:rPr>
              <w:lastRenderedPageBreak/>
              <w:t>autoridad para:</w:t>
            </w:r>
          </w:p>
        </w:tc>
        <w:tc>
          <w:tcPr>
            <w:tcW w:w="2551" w:type="dxa"/>
            <w:shd w:val="clear" w:color="auto" w:fill="auto"/>
            <w:vAlign w:val="center"/>
            <w:hideMark/>
          </w:tcPr>
          <w:p w14:paraId="3D169894"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lastRenderedPageBreak/>
              <w:t>asegurarse de que el sistema de gestión de la seguridad de la información sea conforme con los requisitos de esta Norma Internacional; e</w:t>
            </w:r>
          </w:p>
        </w:tc>
        <w:tc>
          <w:tcPr>
            <w:tcW w:w="1368" w:type="dxa"/>
            <w:shd w:val="clear" w:color="000000" w:fill="008000"/>
            <w:vAlign w:val="center"/>
            <w:hideMark/>
          </w:tcPr>
          <w:p w14:paraId="26E82AC7"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33BDD2EF" w14:textId="77777777" w:rsidR="00992986" w:rsidRDefault="00992986" w:rsidP="000F099B">
            <w:pPr>
              <w:rPr>
                <w:rFonts w:asciiTheme="majorHAnsi" w:eastAsia="Times New Roman" w:hAnsiTheme="majorHAnsi" w:cstheme="majorHAnsi"/>
                <w:color w:val="000000"/>
                <w:sz w:val="16"/>
                <w:szCs w:val="16"/>
                <w:lang w:val="es-CO" w:eastAsia="es-CO"/>
              </w:rPr>
            </w:pPr>
          </w:p>
          <w:p w14:paraId="1451EEF9" w14:textId="77777777" w:rsidR="00992986" w:rsidRDefault="00992986" w:rsidP="00992986">
            <w:pPr>
              <w:rPr>
                <w:rFonts w:asciiTheme="majorHAnsi" w:eastAsia="Times New Roman" w:hAnsiTheme="majorHAnsi" w:cstheme="majorHAnsi"/>
                <w:color w:val="000000"/>
                <w:sz w:val="16"/>
                <w:szCs w:val="16"/>
                <w:lang w:val="es-CO" w:eastAsia="es-CO"/>
              </w:rPr>
            </w:pPr>
            <w:r w:rsidRPr="00B546D7">
              <w:rPr>
                <w:rFonts w:asciiTheme="majorHAnsi" w:eastAsia="Times New Roman" w:hAnsiTheme="majorHAnsi" w:cstheme="majorHAnsi"/>
                <w:color w:val="000000"/>
                <w:sz w:val="16"/>
                <w:szCs w:val="16"/>
                <w:highlight w:val="magenta"/>
                <w:lang w:val="es-CO" w:eastAsia="es-CO"/>
              </w:rPr>
              <w:t>Se Actualizo la Resolución 0186 de 2019</w:t>
            </w:r>
            <w:r>
              <w:rPr>
                <w:rFonts w:asciiTheme="majorHAnsi" w:eastAsia="Times New Roman" w:hAnsiTheme="majorHAnsi" w:cstheme="majorHAnsi"/>
                <w:color w:val="000000"/>
                <w:sz w:val="16"/>
                <w:szCs w:val="16"/>
                <w:lang w:val="es-CO" w:eastAsia="es-CO"/>
              </w:rPr>
              <w:t xml:space="preserve"> </w:t>
            </w:r>
          </w:p>
          <w:p w14:paraId="26497943" w14:textId="77777777" w:rsidR="00992986" w:rsidRDefault="00992986" w:rsidP="000F099B">
            <w:pPr>
              <w:rPr>
                <w:rFonts w:asciiTheme="majorHAnsi" w:eastAsia="Times New Roman" w:hAnsiTheme="majorHAnsi" w:cstheme="majorHAnsi"/>
                <w:color w:val="000000"/>
                <w:sz w:val="16"/>
                <w:szCs w:val="16"/>
                <w:lang w:val="es-CO" w:eastAsia="es-CO"/>
              </w:rPr>
            </w:pPr>
          </w:p>
          <w:p w14:paraId="6BBDB8A8" w14:textId="77777777" w:rsidR="007F5968" w:rsidRPr="00E305B4" w:rsidRDefault="001E6000"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En la Resolución 0186 de 2019</w:t>
            </w:r>
            <w:r w:rsidR="007F5968" w:rsidRPr="00E305B4">
              <w:rPr>
                <w:rFonts w:asciiTheme="majorHAnsi" w:eastAsia="Times New Roman" w:hAnsiTheme="majorHAnsi" w:cstheme="majorHAnsi"/>
                <w:color w:val="000000"/>
                <w:sz w:val="16"/>
                <w:szCs w:val="16"/>
                <w:lang w:val="es-CO" w:eastAsia="es-CO"/>
              </w:rPr>
              <w:t>, el director general aprueba la actualización de la política de seguridad de la información, la cual incluye: objetivos de la seguridad de la información, alcance, políticas específicas, responsables.</w:t>
            </w:r>
          </w:p>
        </w:tc>
        <w:tc>
          <w:tcPr>
            <w:tcW w:w="1038" w:type="dxa"/>
            <w:shd w:val="clear" w:color="000000" w:fill="00B0F0"/>
            <w:noWrap/>
            <w:vAlign w:val="center"/>
            <w:hideMark/>
          </w:tcPr>
          <w:p w14:paraId="68620382"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132D8372" w14:textId="77777777" w:rsidR="007F5968" w:rsidRPr="00E305B4" w:rsidRDefault="00992986"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8</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5418717F"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debe revisar la Resolución 1463 de 2017 para garantizar que se encuentren definidos los roles y responsabilidades de seguridad de la información que garanticen la conformidad del sistema con los requisitos de la norma.</w:t>
            </w:r>
          </w:p>
        </w:tc>
        <w:tc>
          <w:tcPr>
            <w:tcW w:w="1763" w:type="dxa"/>
          </w:tcPr>
          <w:p w14:paraId="48C7011C" w14:textId="77777777" w:rsidR="007F5968" w:rsidRPr="00E305B4" w:rsidRDefault="00992986" w:rsidP="000F099B">
            <w:pPr>
              <w:rPr>
                <w:rFonts w:asciiTheme="majorHAnsi" w:eastAsia="Times New Roman" w:hAnsiTheme="majorHAnsi" w:cstheme="majorHAnsi"/>
                <w:color w:val="000000"/>
                <w:sz w:val="16"/>
                <w:szCs w:val="16"/>
                <w:lang w:val="es-CO" w:eastAsia="es-CO"/>
              </w:rPr>
            </w:pPr>
            <w:r w:rsidRPr="00992986">
              <w:rPr>
                <w:rFonts w:asciiTheme="majorHAnsi" w:eastAsia="Times New Roman" w:hAnsiTheme="majorHAnsi" w:cstheme="majorHAnsi"/>
                <w:color w:val="000000"/>
                <w:sz w:val="16"/>
                <w:szCs w:val="16"/>
                <w:highlight w:val="green"/>
                <w:lang w:val="es-CO" w:eastAsia="es-CO"/>
              </w:rPr>
              <w:t>Resolución 0186 de 2019</w:t>
            </w:r>
          </w:p>
        </w:tc>
      </w:tr>
      <w:tr w:rsidR="00274728" w:rsidRPr="00E305B4" w14:paraId="63674A5C" w14:textId="77777777" w:rsidTr="007F5968">
        <w:trPr>
          <w:trHeight w:val="1883"/>
        </w:trPr>
        <w:tc>
          <w:tcPr>
            <w:tcW w:w="840" w:type="dxa"/>
            <w:shd w:val="clear" w:color="auto" w:fill="auto"/>
            <w:vAlign w:val="center"/>
            <w:hideMark/>
          </w:tcPr>
          <w:p w14:paraId="458ADAB4"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lastRenderedPageBreak/>
              <w:t>5.3 (b)</w:t>
            </w:r>
          </w:p>
        </w:tc>
        <w:tc>
          <w:tcPr>
            <w:tcW w:w="1854" w:type="dxa"/>
            <w:vMerge/>
            <w:vAlign w:val="center"/>
            <w:hideMark/>
          </w:tcPr>
          <w:p w14:paraId="7AF5078D"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252F9619"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informar a la alta dirección sobre el desempeño del sistema de gestión de la seguridad de la información.</w:t>
            </w:r>
          </w:p>
        </w:tc>
        <w:tc>
          <w:tcPr>
            <w:tcW w:w="1368" w:type="dxa"/>
            <w:shd w:val="clear" w:color="000000" w:fill="008000"/>
            <w:vAlign w:val="center"/>
            <w:hideMark/>
          </w:tcPr>
          <w:p w14:paraId="2D9E09E3"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22EE03E9"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ha informado a la alta dirección sobre temas referentes a la seguridad de la información mediante el Comité de Gestión y Desempeño cuando ha sido necesario.</w:t>
            </w:r>
          </w:p>
        </w:tc>
        <w:tc>
          <w:tcPr>
            <w:tcW w:w="1038" w:type="dxa"/>
            <w:shd w:val="clear" w:color="000000" w:fill="00B0F0"/>
            <w:noWrap/>
            <w:vAlign w:val="center"/>
            <w:hideMark/>
          </w:tcPr>
          <w:p w14:paraId="2018CF33"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72D18AED" w14:textId="77777777" w:rsidR="007F5968" w:rsidRPr="00E305B4" w:rsidRDefault="00992986"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8</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6BCB9729"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debe revisar la Resolución 1463 de 2017 para garantizar que la alta dirección revise periódicamente el desempeño del sistema de gestión de la seguridad de la información.</w:t>
            </w:r>
          </w:p>
        </w:tc>
        <w:tc>
          <w:tcPr>
            <w:tcW w:w="1763" w:type="dxa"/>
          </w:tcPr>
          <w:p w14:paraId="7C7303D7" w14:textId="77777777" w:rsidR="007F5968" w:rsidRPr="00E305B4" w:rsidRDefault="00992986" w:rsidP="000F099B">
            <w:pPr>
              <w:rPr>
                <w:rFonts w:asciiTheme="majorHAnsi" w:eastAsia="Times New Roman" w:hAnsiTheme="majorHAnsi" w:cstheme="majorHAnsi"/>
                <w:color w:val="000000"/>
                <w:sz w:val="16"/>
                <w:szCs w:val="16"/>
                <w:lang w:val="es-CO" w:eastAsia="es-CO"/>
              </w:rPr>
            </w:pPr>
            <w:r w:rsidRPr="00992986">
              <w:rPr>
                <w:rFonts w:asciiTheme="majorHAnsi" w:eastAsia="Times New Roman" w:hAnsiTheme="majorHAnsi" w:cstheme="majorHAnsi"/>
                <w:color w:val="000000"/>
                <w:sz w:val="16"/>
                <w:szCs w:val="16"/>
                <w:highlight w:val="green"/>
                <w:lang w:val="es-CO" w:eastAsia="es-CO"/>
              </w:rPr>
              <w:t>Resolución 0186 de 2019</w:t>
            </w:r>
          </w:p>
        </w:tc>
      </w:tr>
      <w:tr w:rsidR="00BC0293" w:rsidRPr="00E305B4" w14:paraId="74B8198F" w14:textId="77777777" w:rsidTr="007F5968">
        <w:trPr>
          <w:trHeight w:val="20"/>
        </w:trPr>
        <w:tc>
          <w:tcPr>
            <w:tcW w:w="840" w:type="dxa"/>
            <w:shd w:val="clear" w:color="000000" w:fill="538DD5"/>
            <w:noWrap/>
            <w:vAlign w:val="center"/>
            <w:hideMark/>
          </w:tcPr>
          <w:p w14:paraId="0C9CA3FC"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6</w:t>
            </w:r>
          </w:p>
        </w:tc>
        <w:tc>
          <w:tcPr>
            <w:tcW w:w="10057" w:type="dxa"/>
            <w:gridSpan w:val="5"/>
            <w:shd w:val="clear" w:color="000000" w:fill="538DD5"/>
            <w:noWrap/>
            <w:vAlign w:val="center"/>
            <w:hideMark/>
          </w:tcPr>
          <w:p w14:paraId="704BB7FC"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PLANIFICACIÓN</w:t>
            </w:r>
          </w:p>
        </w:tc>
        <w:tc>
          <w:tcPr>
            <w:tcW w:w="850" w:type="dxa"/>
            <w:shd w:val="clear" w:color="000000" w:fill="538DD5"/>
            <w:noWrap/>
            <w:vAlign w:val="center"/>
            <w:hideMark/>
          </w:tcPr>
          <w:p w14:paraId="23DE3CA7"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34%</w:t>
            </w:r>
          </w:p>
        </w:tc>
        <w:tc>
          <w:tcPr>
            <w:tcW w:w="3782" w:type="dxa"/>
            <w:shd w:val="clear" w:color="000000" w:fill="538DD5"/>
            <w:noWrap/>
            <w:vAlign w:val="center"/>
            <w:hideMark/>
          </w:tcPr>
          <w:p w14:paraId="1FC9A11F"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1536DC8F"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BC0293" w:rsidRPr="00E305B4" w14:paraId="557780E9" w14:textId="77777777" w:rsidTr="007F5968">
        <w:trPr>
          <w:trHeight w:val="20"/>
        </w:trPr>
        <w:tc>
          <w:tcPr>
            <w:tcW w:w="840" w:type="dxa"/>
            <w:shd w:val="clear" w:color="000000" w:fill="538DD5"/>
            <w:noWrap/>
            <w:vAlign w:val="center"/>
            <w:hideMark/>
          </w:tcPr>
          <w:p w14:paraId="55B98B51"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6.1</w:t>
            </w:r>
          </w:p>
        </w:tc>
        <w:tc>
          <w:tcPr>
            <w:tcW w:w="10057" w:type="dxa"/>
            <w:gridSpan w:val="5"/>
            <w:shd w:val="clear" w:color="000000" w:fill="538DD5"/>
            <w:noWrap/>
            <w:vAlign w:val="center"/>
            <w:hideMark/>
          </w:tcPr>
          <w:p w14:paraId="4A2292BE"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Acciones para tratar riesgos y oportunidades</w:t>
            </w:r>
          </w:p>
        </w:tc>
        <w:tc>
          <w:tcPr>
            <w:tcW w:w="850" w:type="dxa"/>
            <w:shd w:val="clear" w:color="000000" w:fill="538DD5"/>
            <w:noWrap/>
            <w:vAlign w:val="center"/>
            <w:hideMark/>
          </w:tcPr>
          <w:p w14:paraId="2B646794"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21%</w:t>
            </w:r>
          </w:p>
        </w:tc>
        <w:tc>
          <w:tcPr>
            <w:tcW w:w="3782" w:type="dxa"/>
            <w:shd w:val="clear" w:color="000000" w:fill="538DD5"/>
            <w:noWrap/>
            <w:vAlign w:val="center"/>
            <w:hideMark/>
          </w:tcPr>
          <w:p w14:paraId="45E66977"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3368C5C2"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BC0293" w:rsidRPr="00E305B4" w14:paraId="55491C92" w14:textId="77777777" w:rsidTr="007F5968">
        <w:trPr>
          <w:trHeight w:val="20"/>
        </w:trPr>
        <w:tc>
          <w:tcPr>
            <w:tcW w:w="840" w:type="dxa"/>
            <w:shd w:val="clear" w:color="000000" w:fill="538DD5"/>
            <w:noWrap/>
            <w:vAlign w:val="center"/>
            <w:hideMark/>
          </w:tcPr>
          <w:p w14:paraId="649957E3"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6.1.1</w:t>
            </w:r>
          </w:p>
        </w:tc>
        <w:tc>
          <w:tcPr>
            <w:tcW w:w="10057" w:type="dxa"/>
            <w:gridSpan w:val="5"/>
            <w:shd w:val="clear" w:color="000000" w:fill="538DD5"/>
            <w:noWrap/>
            <w:vAlign w:val="center"/>
            <w:hideMark/>
          </w:tcPr>
          <w:p w14:paraId="69CD9939"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Generalidades</w:t>
            </w:r>
          </w:p>
        </w:tc>
        <w:tc>
          <w:tcPr>
            <w:tcW w:w="850" w:type="dxa"/>
            <w:shd w:val="clear" w:color="000000" w:fill="538DD5"/>
            <w:noWrap/>
            <w:vAlign w:val="center"/>
            <w:hideMark/>
          </w:tcPr>
          <w:p w14:paraId="0F7BFFEB"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60%</w:t>
            </w:r>
          </w:p>
        </w:tc>
        <w:tc>
          <w:tcPr>
            <w:tcW w:w="3782" w:type="dxa"/>
            <w:shd w:val="clear" w:color="000000" w:fill="538DD5"/>
            <w:noWrap/>
            <w:vAlign w:val="center"/>
            <w:hideMark/>
          </w:tcPr>
          <w:p w14:paraId="2315968A"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0E3D0081"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75073079" w14:textId="77777777" w:rsidTr="007F5968">
        <w:trPr>
          <w:trHeight w:val="20"/>
        </w:trPr>
        <w:tc>
          <w:tcPr>
            <w:tcW w:w="840" w:type="dxa"/>
            <w:shd w:val="clear" w:color="auto" w:fill="auto"/>
            <w:vAlign w:val="center"/>
            <w:hideMark/>
          </w:tcPr>
          <w:p w14:paraId="70D9E05B"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6.1.1 (a)</w:t>
            </w:r>
          </w:p>
        </w:tc>
        <w:tc>
          <w:tcPr>
            <w:tcW w:w="1854" w:type="dxa"/>
            <w:vMerge w:val="restart"/>
            <w:shd w:val="clear" w:color="auto" w:fill="auto"/>
            <w:vAlign w:val="center"/>
            <w:hideMark/>
          </w:tcPr>
          <w:p w14:paraId="718102A9"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Al planificar el sistema de gestión de seguridad de la información, la organización debe considerar las cuestiones referidas en el apartado 4.1 y los requisitos a que se hace referencia en el apartado 4.2, y determinar los riesgos y oportunidades que es necesario tratar, con el fin de:</w:t>
            </w:r>
          </w:p>
        </w:tc>
        <w:tc>
          <w:tcPr>
            <w:tcW w:w="2551" w:type="dxa"/>
            <w:shd w:val="clear" w:color="auto" w:fill="auto"/>
            <w:vAlign w:val="center"/>
            <w:hideMark/>
          </w:tcPr>
          <w:p w14:paraId="7D4FF41E"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asegurarse de que el sistema de gestión de la seguridad de la información pueda lograr sus resultados previstos</w:t>
            </w:r>
          </w:p>
        </w:tc>
        <w:tc>
          <w:tcPr>
            <w:tcW w:w="1368" w:type="dxa"/>
            <w:shd w:val="clear" w:color="000000" w:fill="008000"/>
            <w:vAlign w:val="center"/>
            <w:hideMark/>
          </w:tcPr>
          <w:p w14:paraId="7F55244C"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005E6C21" w14:textId="77777777" w:rsidR="00992986" w:rsidRDefault="00992986" w:rsidP="000F099B">
            <w:pPr>
              <w:rPr>
                <w:rFonts w:asciiTheme="majorHAnsi" w:eastAsia="Times New Roman" w:hAnsiTheme="majorHAnsi" w:cstheme="majorHAnsi"/>
                <w:color w:val="000000"/>
                <w:sz w:val="16"/>
                <w:szCs w:val="16"/>
                <w:lang w:val="es-CO" w:eastAsia="es-CO"/>
              </w:rPr>
            </w:pPr>
            <w:r w:rsidRPr="00992986">
              <w:rPr>
                <w:rFonts w:asciiTheme="majorHAnsi" w:eastAsia="Times New Roman" w:hAnsiTheme="majorHAnsi" w:cstheme="majorHAnsi"/>
                <w:color w:val="000000"/>
                <w:sz w:val="16"/>
                <w:szCs w:val="16"/>
                <w:highlight w:val="magenta"/>
                <w:lang w:val="es-CO" w:eastAsia="es-CO"/>
              </w:rPr>
              <w:t>La alta Dirección con su apoyo y compromiso de la implementación  del sistema de seguridad  ha realizado la contratación dos años consecutivos por medio de una  consultoría la cual realizo un diagnóstico del estado del modelo de seguridad y privacidad de la información (MSPI) del INS, la revisión y actualización de la documentación y el levantamiento de los riesgos en todos los procesos de la entidad para garantizar la confidencialidad, integridad y disponibilidad de la información gestionada, adicionalmente se realizó una socialización de los riesgos, se entregó herramientas para su aplicación, seguimiento, control, se trabajó los procedimientos y las políticas específicas para Instituto Nacional de Salud.</w:t>
            </w:r>
          </w:p>
          <w:p w14:paraId="4166CC7C" w14:textId="77777777" w:rsidR="00992986" w:rsidRDefault="00992986" w:rsidP="000F099B">
            <w:pPr>
              <w:rPr>
                <w:rFonts w:asciiTheme="majorHAnsi" w:eastAsia="Times New Roman" w:hAnsiTheme="majorHAnsi" w:cstheme="majorHAnsi"/>
                <w:color w:val="000000"/>
                <w:sz w:val="16"/>
                <w:szCs w:val="16"/>
                <w:lang w:val="es-CO" w:eastAsia="es-CO"/>
              </w:rPr>
            </w:pPr>
          </w:p>
          <w:p w14:paraId="1FBF881E" w14:textId="77777777" w:rsidR="00992986" w:rsidRDefault="00992986" w:rsidP="000F099B">
            <w:pPr>
              <w:rPr>
                <w:rFonts w:asciiTheme="majorHAnsi" w:eastAsia="Times New Roman" w:hAnsiTheme="majorHAnsi" w:cstheme="majorHAnsi"/>
                <w:color w:val="000000"/>
                <w:sz w:val="16"/>
                <w:szCs w:val="16"/>
                <w:lang w:val="es-CO" w:eastAsia="es-CO"/>
              </w:rPr>
            </w:pPr>
          </w:p>
          <w:p w14:paraId="11D5AB50"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Actualmente el INS ha asignado recursos para la contratación de una consultoría que realice el diagnóstico del estado del modelo de seguridad y privacidad de la información (MSPI) del INS, la revisión y actualización de la documentación y el levantamiento de los riesgos en todos los procesos de la entidad para garantizar la confidencialidad, integridad y disponibilidad de la información gestionada en el Instituto Nacional de Salud.</w:t>
            </w:r>
          </w:p>
        </w:tc>
        <w:tc>
          <w:tcPr>
            <w:tcW w:w="1038" w:type="dxa"/>
            <w:shd w:val="clear" w:color="000000" w:fill="00B0F0"/>
            <w:noWrap/>
            <w:vAlign w:val="center"/>
            <w:hideMark/>
          </w:tcPr>
          <w:p w14:paraId="4D19C952"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714D1D89" w14:textId="77777777" w:rsidR="007F5968" w:rsidRPr="00E305B4" w:rsidRDefault="00992986"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8</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36730D4D"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Durante el establecimiento del sistema se deben definir objetivos alcanzables con el fin de prevenir o reducir efectos indeseados</w:t>
            </w:r>
          </w:p>
        </w:tc>
        <w:tc>
          <w:tcPr>
            <w:tcW w:w="1763" w:type="dxa"/>
          </w:tcPr>
          <w:p w14:paraId="76D2189D" w14:textId="77777777" w:rsidR="007F5968" w:rsidRPr="00992986" w:rsidRDefault="00992986" w:rsidP="00187127">
            <w:pPr>
              <w:pStyle w:val="Prrafodelista"/>
              <w:numPr>
                <w:ilvl w:val="0"/>
                <w:numId w:val="22"/>
              </w:numPr>
              <w:tabs>
                <w:tab w:val="left" w:pos="138"/>
              </w:tabs>
              <w:ind w:left="0" w:firstLine="0"/>
              <w:rPr>
                <w:rFonts w:asciiTheme="majorHAnsi" w:eastAsia="Times New Roman" w:hAnsiTheme="majorHAnsi" w:cstheme="majorHAnsi"/>
                <w:color w:val="000000"/>
                <w:sz w:val="16"/>
                <w:szCs w:val="16"/>
                <w:lang w:val="es-CO" w:eastAsia="es-CO"/>
              </w:rPr>
            </w:pPr>
            <w:r w:rsidRPr="00992986">
              <w:rPr>
                <w:rFonts w:asciiTheme="majorHAnsi" w:eastAsia="Times New Roman" w:hAnsiTheme="majorHAnsi" w:cstheme="majorHAnsi"/>
                <w:color w:val="000000"/>
                <w:sz w:val="16"/>
                <w:szCs w:val="16"/>
                <w:highlight w:val="green"/>
                <w:lang w:val="es-CO" w:eastAsia="es-CO"/>
              </w:rPr>
              <w:t xml:space="preserve">Documento entregado por la empresa, contrato de </w:t>
            </w:r>
            <w:proofErr w:type="spellStart"/>
            <w:r w:rsidRPr="00992986">
              <w:rPr>
                <w:rFonts w:asciiTheme="majorHAnsi" w:eastAsia="Times New Roman" w:hAnsiTheme="majorHAnsi" w:cstheme="majorHAnsi"/>
                <w:color w:val="000000"/>
                <w:sz w:val="16"/>
                <w:szCs w:val="16"/>
                <w:highlight w:val="green"/>
                <w:lang w:val="es-CO" w:eastAsia="es-CO"/>
              </w:rPr>
              <w:t>merito</w:t>
            </w:r>
            <w:r>
              <w:rPr>
                <w:rFonts w:asciiTheme="majorHAnsi" w:eastAsia="Times New Roman" w:hAnsiTheme="majorHAnsi" w:cstheme="majorHAnsi"/>
                <w:color w:val="000000"/>
                <w:sz w:val="16"/>
                <w:szCs w:val="16"/>
                <w:lang w:val="es-CO" w:eastAsia="es-CO"/>
              </w:rPr>
              <w:t>s</w:t>
            </w:r>
            <w:proofErr w:type="spellEnd"/>
          </w:p>
        </w:tc>
      </w:tr>
      <w:tr w:rsidR="00274728" w:rsidRPr="00E305B4" w14:paraId="3551F2D1" w14:textId="77777777" w:rsidTr="007F5968">
        <w:trPr>
          <w:trHeight w:val="20"/>
        </w:trPr>
        <w:tc>
          <w:tcPr>
            <w:tcW w:w="840" w:type="dxa"/>
            <w:shd w:val="clear" w:color="auto" w:fill="auto"/>
            <w:vAlign w:val="center"/>
            <w:hideMark/>
          </w:tcPr>
          <w:p w14:paraId="2FDB9276"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lastRenderedPageBreak/>
              <w:t>6.1.1 (b)</w:t>
            </w:r>
          </w:p>
        </w:tc>
        <w:tc>
          <w:tcPr>
            <w:tcW w:w="1854" w:type="dxa"/>
            <w:vMerge/>
            <w:vAlign w:val="center"/>
            <w:hideMark/>
          </w:tcPr>
          <w:p w14:paraId="158E8020"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16D61B80"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prevenir o reducir efectos indeseados; y</w:t>
            </w:r>
          </w:p>
        </w:tc>
        <w:tc>
          <w:tcPr>
            <w:tcW w:w="1368" w:type="dxa"/>
            <w:shd w:val="clear" w:color="000000" w:fill="008000"/>
            <w:vAlign w:val="center"/>
            <w:hideMark/>
          </w:tcPr>
          <w:p w14:paraId="2EE9C91B"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59D4CED9" w14:textId="77777777" w:rsidR="00992986" w:rsidRDefault="00992986" w:rsidP="00992986">
            <w:pPr>
              <w:rPr>
                <w:rFonts w:asciiTheme="majorHAnsi" w:eastAsia="Times New Roman" w:hAnsiTheme="majorHAnsi" w:cstheme="majorHAnsi"/>
                <w:color w:val="000000"/>
                <w:sz w:val="16"/>
                <w:szCs w:val="16"/>
                <w:lang w:val="es-CO" w:eastAsia="es-CO"/>
              </w:rPr>
            </w:pPr>
            <w:r w:rsidRPr="00992986">
              <w:rPr>
                <w:rFonts w:asciiTheme="majorHAnsi" w:eastAsia="Times New Roman" w:hAnsiTheme="majorHAnsi" w:cstheme="majorHAnsi"/>
                <w:color w:val="000000"/>
                <w:sz w:val="16"/>
                <w:szCs w:val="16"/>
                <w:highlight w:val="magenta"/>
                <w:lang w:val="es-CO" w:eastAsia="es-CO"/>
              </w:rPr>
              <w:t>La alta Dirección con su apoyo y compromiso de la implementación  del sistema de seguridad  ha realizado la contratación dos años consecutivos por medio de una  consultoría la cual realizo un diagnóstico del estado del modelo de seguridad y privacidad de la información (MSPI) del INS, la revisión y actualización de la documentación y el levantamiento de los riesgos en todos los procesos de la entidad para garantizar la confidencialidad, integridad y disponibilidad de la información gestionada, adicionalmente se realizó una socialización de los riesgos, se entregó herramientas para su aplicación, seguimiento, control, se trabajó los procedimientos y las políticas específicas para Instituto Nacional de Salud.</w:t>
            </w:r>
          </w:p>
          <w:p w14:paraId="541043F5" w14:textId="77777777" w:rsidR="00992986" w:rsidRDefault="00992986" w:rsidP="000F099B">
            <w:pPr>
              <w:rPr>
                <w:rFonts w:asciiTheme="majorHAnsi" w:eastAsia="Times New Roman" w:hAnsiTheme="majorHAnsi" w:cstheme="majorHAnsi"/>
                <w:color w:val="000000"/>
                <w:sz w:val="16"/>
                <w:szCs w:val="16"/>
                <w:lang w:val="es-CO" w:eastAsia="es-CO"/>
              </w:rPr>
            </w:pPr>
          </w:p>
          <w:p w14:paraId="0F0BE1C7" w14:textId="77777777" w:rsidR="00992986" w:rsidRDefault="00992986" w:rsidP="000F099B">
            <w:pPr>
              <w:rPr>
                <w:rFonts w:asciiTheme="majorHAnsi" w:eastAsia="Times New Roman" w:hAnsiTheme="majorHAnsi" w:cstheme="majorHAnsi"/>
                <w:color w:val="000000"/>
                <w:sz w:val="16"/>
                <w:szCs w:val="16"/>
                <w:lang w:val="es-CO" w:eastAsia="es-CO"/>
              </w:rPr>
            </w:pPr>
          </w:p>
          <w:p w14:paraId="55E1459D" w14:textId="77777777" w:rsidR="00992986" w:rsidRDefault="00992986" w:rsidP="000F099B">
            <w:pPr>
              <w:rPr>
                <w:rFonts w:asciiTheme="majorHAnsi" w:eastAsia="Times New Roman" w:hAnsiTheme="majorHAnsi" w:cstheme="majorHAnsi"/>
                <w:color w:val="000000"/>
                <w:sz w:val="16"/>
                <w:szCs w:val="16"/>
                <w:lang w:val="es-CO" w:eastAsia="es-CO"/>
              </w:rPr>
            </w:pPr>
          </w:p>
          <w:p w14:paraId="3E388C53"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Actualmente el INS ha asignado recursos para la contratación de una consultoría que realice el diagnóstico del estado del modelo de seguridad y privacidad de la información (MSPI) del INS, la revisión y actualización de la documentación y el levantamiento de los riesgos en todos los procesos de la entidad para garantizar la confidencialidad, integridad y disponibilidad de la información gestionada en el Instituto Nacional de Salud.</w:t>
            </w:r>
          </w:p>
        </w:tc>
        <w:tc>
          <w:tcPr>
            <w:tcW w:w="1038" w:type="dxa"/>
            <w:shd w:val="clear" w:color="000000" w:fill="00B0F0"/>
            <w:noWrap/>
            <w:vAlign w:val="center"/>
            <w:hideMark/>
          </w:tcPr>
          <w:p w14:paraId="1A6C2266"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41705927" w14:textId="77777777" w:rsidR="007F5968" w:rsidRPr="00E305B4" w:rsidRDefault="004C7B85"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8</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0E190C8E"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Durante el establecimiento del sistema se debe hacer un análisis de riesgos con el fin de prevenir o reducir efectos indeseados</w:t>
            </w:r>
          </w:p>
        </w:tc>
        <w:tc>
          <w:tcPr>
            <w:tcW w:w="1763" w:type="dxa"/>
          </w:tcPr>
          <w:p w14:paraId="72035FD3" w14:textId="77777777" w:rsidR="007F5968" w:rsidRDefault="00992986" w:rsidP="00187127">
            <w:pPr>
              <w:pStyle w:val="Prrafodelista"/>
              <w:numPr>
                <w:ilvl w:val="0"/>
                <w:numId w:val="23"/>
              </w:numPr>
              <w:tabs>
                <w:tab w:val="left" w:pos="138"/>
              </w:tabs>
              <w:ind w:left="0" w:hanging="4"/>
              <w:rPr>
                <w:rFonts w:asciiTheme="majorHAnsi" w:eastAsia="Times New Roman" w:hAnsiTheme="majorHAnsi" w:cstheme="majorHAnsi"/>
                <w:color w:val="000000"/>
                <w:sz w:val="16"/>
                <w:szCs w:val="16"/>
                <w:lang w:val="es-CO" w:eastAsia="es-CO"/>
              </w:rPr>
            </w:pPr>
            <w:r w:rsidRPr="00992986">
              <w:rPr>
                <w:rFonts w:asciiTheme="majorHAnsi" w:eastAsia="Times New Roman" w:hAnsiTheme="majorHAnsi" w:cstheme="majorHAnsi"/>
                <w:color w:val="000000"/>
                <w:sz w:val="16"/>
                <w:szCs w:val="16"/>
                <w:highlight w:val="green"/>
                <w:lang w:val="es-CO" w:eastAsia="es-CO"/>
              </w:rPr>
              <w:t>Documento entregado por la empresa, contrato de méri</w:t>
            </w:r>
            <w:r>
              <w:rPr>
                <w:rFonts w:asciiTheme="majorHAnsi" w:eastAsia="Times New Roman" w:hAnsiTheme="majorHAnsi" w:cstheme="majorHAnsi"/>
                <w:color w:val="000000"/>
                <w:sz w:val="16"/>
                <w:szCs w:val="16"/>
                <w:lang w:val="es-CO" w:eastAsia="es-CO"/>
              </w:rPr>
              <w:t>tos</w:t>
            </w:r>
          </w:p>
          <w:p w14:paraId="0680235B" w14:textId="77777777" w:rsidR="00992986" w:rsidRDefault="00992986" w:rsidP="00992986">
            <w:pPr>
              <w:pStyle w:val="Prrafodelista"/>
              <w:tabs>
                <w:tab w:val="left" w:pos="138"/>
              </w:tabs>
              <w:ind w:left="0" w:firstLine="0"/>
              <w:rPr>
                <w:rFonts w:asciiTheme="majorHAnsi" w:eastAsia="Times New Roman" w:hAnsiTheme="majorHAnsi" w:cstheme="majorHAnsi"/>
                <w:color w:val="000000"/>
                <w:sz w:val="16"/>
                <w:szCs w:val="16"/>
                <w:lang w:val="es-CO" w:eastAsia="es-CO"/>
              </w:rPr>
            </w:pPr>
          </w:p>
          <w:p w14:paraId="7CD91DB7" w14:textId="77777777" w:rsidR="00992986" w:rsidRPr="00992986" w:rsidRDefault="00992986" w:rsidP="00187127">
            <w:pPr>
              <w:pStyle w:val="Prrafodelista"/>
              <w:numPr>
                <w:ilvl w:val="0"/>
                <w:numId w:val="23"/>
              </w:numPr>
              <w:tabs>
                <w:tab w:val="left" w:pos="138"/>
              </w:tabs>
              <w:ind w:left="0" w:hanging="4"/>
              <w:rPr>
                <w:rFonts w:asciiTheme="majorHAnsi" w:eastAsia="Times New Roman" w:hAnsiTheme="majorHAnsi" w:cstheme="majorHAnsi"/>
                <w:color w:val="000000"/>
                <w:sz w:val="16"/>
                <w:szCs w:val="16"/>
                <w:highlight w:val="green"/>
                <w:lang w:val="es-CO" w:eastAsia="es-CO"/>
              </w:rPr>
            </w:pPr>
            <w:r w:rsidRPr="00992986">
              <w:rPr>
                <w:rFonts w:asciiTheme="majorHAnsi" w:eastAsia="Times New Roman" w:hAnsiTheme="majorHAnsi" w:cstheme="majorHAnsi"/>
                <w:color w:val="000000"/>
                <w:sz w:val="16"/>
                <w:szCs w:val="16"/>
                <w:highlight w:val="green"/>
                <w:lang w:val="es-CO" w:eastAsia="es-CO"/>
              </w:rPr>
              <w:t>Para el 2019 se realizó la socialización y seguimiento de los riesgos.</w:t>
            </w:r>
          </w:p>
          <w:p w14:paraId="3055F682" w14:textId="77777777" w:rsidR="00992986" w:rsidRPr="00992986" w:rsidRDefault="00992986" w:rsidP="00992986">
            <w:pPr>
              <w:pStyle w:val="Prrafodelista"/>
              <w:rPr>
                <w:rFonts w:asciiTheme="majorHAnsi" w:eastAsia="Times New Roman" w:hAnsiTheme="majorHAnsi" w:cstheme="majorHAnsi"/>
                <w:color w:val="000000"/>
                <w:sz w:val="16"/>
                <w:szCs w:val="16"/>
                <w:highlight w:val="green"/>
                <w:lang w:val="es-CO" w:eastAsia="es-CO"/>
              </w:rPr>
            </w:pPr>
          </w:p>
          <w:p w14:paraId="6CDEAAF9" w14:textId="77777777" w:rsidR="00992986" w:rsidRPr="00992986" w:rsidRDefault="00992986" w:rsidP="00187127">
            <w:pPr>
              <w:pStyle w:val="Prrafodelista"/>
              <w:numPr>
                <w:ilvl w:val="0"/>
                <w:numId w:val="23"/>
              </w:numPr>
              <w:tabs>
                <w:tab w:val="left" w:pos="138"/>
              </w:tabs>
              <w:ind w:left="0" w:hanging="4"/>
              <w:rPr>
                <w:rFonts w:asciiTheme="majorHAnsi" w:eastAsia="Times New Roman" w:hAnsiTheme="majorHAnsi" w:cstheme="majorHAnsi"/>
                <w:color w:val="000000"/>
                <w:sz w:val="16"/>
                <w:szCs w:val="16"/>
                <w:lang w:val="es-CO" w:eastAsia="es-CO"/>
              </w:rPr>
            </w:pPr>
            <w:r w:rsidRPr="00992986">
              <w:rPr>
                <w:rFonts w:asciiTheme="majorHAnsi" w:eastAsia="Times New Roman" w:hAnsiTheme="majorHAnsi" w:cstheme="majorHAnsi"/>
                <w:color w:val="000000"/>
                <w:sz w:val="16"/>
                <w:szCs w:val="16"/>
                <w:highlight w:val="green"/>
                <w:lang w:val="es-CO" w:eastAsia="es-CO"/>
              </w:rPr>
              <w:t>Se desarrollo una herramienta que permitirá el seguimiento y entrega de evidencias de los Riesgos por las áreas responsables de los riesgos</w:t>
            </w:r>
          </w:p>
        </w:tc>
      </w:tr>
      <w:tr w:rsidR="00274728" w:rsidRPr="00E305B4" w14:paraId="3A78E981" w14:textId="77777777" w:rsidTr="007F5968">
        <w:trPr>
          <w:trHeight w:val="20"/>
        </w:trPr>
        <w:tc>
          <w:tcPr>
            <w:tcW w:w="840" w:type="dxa"/>
            <w:shd w:val="clear" w:color="auto" w:fill="auto"/>
            <w:vAlign w:val="center"/>
            <w:hideMark/>
          </w:tcPr>
          <w:p w14:paraId="23DD062F"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6.1.1 (c)</w:t>
            </w:r>
          </w:p>
        </w:tc>
        <w:tc>
          <w:tcPr>
            <w:tcW w:w="1854" w:type="dxa"/>
            <w:vMerge/>
            <w:vAlign w:val="center"/>
            <w:hideMark/>
          </w:tcPr>
          <w:p w14:paraId="7142ECC6"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2F824E82"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lograr la mejora continua.</w:t>
            </w:r>
          </w:p>
        </w:tc>
        <w:tc>
          <w:tcPr>
            <w:tcW w:w="1368" w:type="dxa"/>
            <w:shd w:val="clear" w:color="000000" w:fill="008000"/>
            <w:vAlign w:val="center"/>
            <w:hideMark/>
          </w:tcPr>
          <w:p w14:paraId="350A9E54"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7368D2D5" w14:textId="77777777" w:rsidR="00992986" w:rsidRDefault="00992986" w:rsidP="00992986">
            <w:pPr>
              <w:rPr>
                <w:rFonts w:asciiTheme="majorHAnsi" w:eastAsia="Times New Roman" w:hAnsiTheme="majorHAnsi" w:cstheme="majorHAnsi"/>
                <w:color w:val="000000"/>
                <w:sz w:val="16"/>
                <w:szCs w:val="16"/>
                <w:lang w:val="es-CO" w:eastAsia="es-CO"/>
              </w:rPr>
            </w:pPr>
            <w:r w:rsidRPr="00992986">
              <w:rPr>
                <w:rFonts w:asciiTheme="majorHAnsi" w:eastAsia="Times New Roman" w:hAnsiTheme="majorHAnsi" w:cstheme="majorHAnsi"/>
                <w:color w:val="000000"/>
                <w:sz w:val="16"/>
                <w:szCs w:val="16"/>
                <w:highlight w:val="magenta"/>
                <w:lang w:val="es-CO" w:eastAsia="es-CO"/>
              </w:rPr>
              <w:t xml:space="preserve">La alta Dirección con su apoyo y compromiso de la implementación  del sistema de seguridad  ha realizado la contratación dos años consecutivos por medio de una  consultoría la cual realizo un diagnóstico del estado del modelo de seguridad y privacidad de la información (MSPI) del INS, la revisión y actualización de la documentación y el levantamiento de los riesgos en todos los procesos de la entidad para garantizar la confidencialidad, integridad y disponibilidad de la información gestionada, adicionalmente </w:t>
            </w:r>
            <w:r w:rsidRPr="00992986">
              <w:rPr>
                <w:rFonts w:asciiTheme="majorHAnsi" w:eastAsia="Times New Roman" w:hAnsiTheme="majorHAnsi" w:cstheme="majorHAnsi"/>
                <w:color w:val="000000"/>
                <w:sz w:val="16"/>
                <w:szCs w:val="16"/>
                <w:highlight w:val="magenta"/>
                <w:lang w:val="es-CO" w:eastAsia="es-CO"/>
              </w:rPr>
              <w:lastRenderedPageBreak/>
              <w:t>se realizó una socialización de los riesgos, se entregó herramientas para su aplicación, seguimiento, control, se trabajó los procedimientos y las políticas específicas para Instituto Nacional de Salud.</w:t>
            </w:r>
          </w:p>
          <w:p w14:paraId="176D18D0" w14:textId="77777777" w:rsidR="00992986" w:rsidRDefault="00992986" w:rsidP="000F099B">
            <w:pPr>
              <w:rPr>
                <w:rFonts w:asciiTheme="majorHAnsi" w:eastAsia="Times New Roman" w:hAnsiTheme="majorHAnsi" w:cstheme="majorHAnsi"/>
                <w:color w:val="000000"/>
                <w:sz w:val="16"/>
                <w:szCs w:val="16"/>
                <w:lang w:val="es-CO" w:eastAsia="es-CO"/>
              </w:rPr>
            </w:pPr>
          </w:p>
          <w:p w14:paraId="4F5D9889" w14:textId="77777777" w:rsidR="00992986" w:rsidRDefault="00992986" w:rsidP="000F099B">
            <w:pPr>
              <w:rPr>
                <w:rFonts w:asciiTheme="majorHAnsi" w:eastAsia="Times New Roman" w:hAnsiTheme="majorHAnsi" w:cstheme="majorHAnsi"/>
                <w:color w:val="000000"/>
                <w:sz w:val="16"/>
                <w:szCs w:val="16"/>
                <w:lang w:val="es-CO" w:eastAsia="es-CO"/>
              </w:rPr>
            </w:pPr>
          </w:p>
          <w:p w14:paraId="54B1A9B8" w14:textId="77777777" w:rsidR="00992986" w:rsidRDefault="00992986" w:rsidP="000F099B">
            <w:pPr>
              <w:rPr>
                <w:rFonts w:asciiTheme="majorHAnsi" w:eastAsia="Times New Roman" w:hAnsiTheme="majorHAnsi" w:cstheme="majorHAnsi"/>
                <w:color w:val="000000"/>
                <w:sz w:val="16"/>
                <w:szCs w:val="16"/>
                <w:lang w:val="es-CO" w:eastAsia="es-CO"/>
              </w:rPr>
            </w:pPr>
          </w:p>
          <w:p w14:paraId="3EC8CB8A"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Actualmente el INS ha asignado recursos para la contratación de una consultoría que realice el diagnóstico del estado del modelo de seguridad y privacidad de la información (MSPI) del INS, la revisión y actualización de la documentación y el levantamiento de los riesgos en todos los procesos de la entidad para garantizar la confidencialidad, integridad y disponibilidad de la información gestionada en el Instituto Nacional de Salud.</w:t>
            </w:r>
          </w:p>
        </w:tc>
        <w:tc>
          <w:tcPr>
            <w:tcW w:w="1038" w:type="dxa"/>
            <w:shd w:val="clear" w:color="000000" w:fill="00B0F0"/>
            <w:noWrap/>
            <w:vAlign w:val="center"/>
            <w:hideMark/>
          </w:tcPr>
          <w:p w14:paraId="383542DA"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lastRenderedPageBreak/>
              <w:t>Definido</w:t>
            </w:r>
          </w:p>
        </w:tc>
        <w:tc>
          <w:tcPr>
            <w:tcW w:w="850" w:type="dxa"/>
            <w:shd w:val="clear" w:color="auto" w:fill="auto"/>
            <w:noWrap/>
            <w:vAlign w:val="center"/>
            <w:hideMark/>
          </w:tcPr>
          <w:p w14:paraId="6E52773D"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60%</w:t>
            </w:r>
          </w:p>
        </w:tc>
        <w:tc>
          <w:tcPr>
            <w:tcW w:w="3782" w:type="dxa"/>
            <w:shd w:val="clear" w:color="auto" w:fill="auto"/>
            <w:vAlign w:val="center"/>
            <w:hideMark/>
          </w:tcPr>
          <w:p w14:paraId="6CB55B64"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Revisar que el manual del sistema integrado de gestión contemple la mejora continua del sistema de gestión de seguridad de la información y protección de datos personales </w:t>
            </w:r>
          </w:p>
        </w:tc>
        <w:tc>
          <w:tcPr>
            <w:tcW w:w="1763" w:type="dxa"/>
          </w:tcPr>
          <w:p w14:paraId="047FEB77" w14:textId="77777777" w:rsidR="007F5968" w:rsidRPr="004C7B85" w:rsidRDefault="004C7B85" w:rsidP="00187127">
            <w:pPr>
              <w:pStyle w:val="Prrafodelista"/>
              <w:numPr>
                <w:ilvl w:val="0"/>
                <w:numId w:val="24"/>
              </w:numPr>
              <w:tabs>
                <w:tab w:val="left" w:pos="138"/>
              </w:tabs>
              <w:ind w:left="-4" w:firstLine="0"/>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 </w:t>
            </w:r>
            <w:r w:rsidRPr="004C7B85">
              <w:rPr>
                <w:rFonts w:asciiTheme="majorHAnsi" w:eastAsia="Times New Roman" w:hAnsiTheme="majorHAnsi" w:cstheme="majorHAnsi"/>
                <w:color w:val="000000"/>
                <w:sz w:val="16"/>
                <w:szCs w:val="16"/>
                <w:highlight w:val="cyan"/>
                <w:lang w:val="es-CO" w:eastAsia="es-CO"/>
              </w:rPr>
              <w:t>Manual de Calidad</w:t>
            </w:r>
          </w:p>
        </w:tc>
      </w:tr>
      <w:tr w:rsidR="00274728" w:rsidRPr="00E305B4" w14:paraId="7545804F" w14:textId="77777777" w:rsidTr="007F5968">
        <w:trPr>
          <w:trHeight w:val="20"/>
        </w:trPr>
        <w:tc>
          <w:tcPr>
            <w:tcW w:w="840" w:type="dxa"/>
            <w:shd w:val="clear" w:color="auto" w:fill="auto"/>
            <w:vAlign w:val="center"/>
            <w:hideMark/>
          </w:tcPr>
          <w:p w14:paraId="4BA2D952"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6.1.1 (d)</w:t>
            </w:r>
          </w:p>
        </w:tc>
        <w:tc>
          <w:tcPr>
            <w:tcW w:w="1854" w:type="dxa"/>
            <w:vMerge w:val="restart"/>
            <w:shd w:val="clear" w:color="auto" w:fill="auto"/>
            <w:vAlign w:val="center"/>
            <w:hideMark/>
          </w:tcPr>
          <w:p w14:paraId="4178085D"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organización debe planificar:</w:t>
            </w:r>
          </w:p>
        </w:tc>
        <w:tc>
          <w:tcPr>
            <w:tcW w:w="2551" w:type="dxa"/>
            <w:shd w:val="clear" w:color="auto" w:fill="auto"/>
            <w:vAlign w:val="center"/>
            <w:hideMark/>
          </w:tcPr>
          <w:p w14:paraId="34E5AF01"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las acciones para tratar estos riesgos y oportunidades; y</w:t>
            </w:r>
          </w:p>
        </w:tc>
        <w:tc>
          <w:tcPr>
            <w:tcW w:w="1368" w:type="dxa"/>
            <w:shd w:val="clear" w:color="000000" w:fill="008000"/>
            <w:vAlign w:val="center"/>
            <w:hideMark/>
          </w:tcPr>
          <w:p w14:paraId="6A777D52"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050FA954" w14:textId="77777777" w:rsidR="00992986" w:rsidRDefault="00992986" w:rsidP="00992986">
            <w:pPr>
              <w:rPr>
                <w:rFonts w:asciiTheme="majorHAnsi" w:eastAsia="Times New Roman" w:hAnsiTheme="majorHAnsi" w:cstheme="majorHAnsi"/>
                <w:color w:val="000000"/>
                <w:sz w:val="16"/>
                <w:szCs w:val="16"/>
                <w:lang w:val="es-CO" w:eastAsia="es-CO"/>
              </w:rPr>
            </w:pPr>
            <w:r w:rsidRPr="00992986">
              <w:rPr>
                <w:rFonts w:asciiTheme="majorHAnsi" w:eastAsia="Times New Roman" w:hAnsiTheme="majorHAnsi" w:cstheme="majorHAnsi"/>
                <w:color w:val="000000"/>
                <w:sz w:val="16"/>
                <w:szCs w:val="16"/>
                <w:highlight w:val="magenta"/>
                <w:lang w:val="es-CO" w:eastAsia="es-CO"/>
              </w:rPr>
              <w:t>La alta Dirección con su apoyo y compromiso de la implementación  del sistema de seguridad  ha realizado la contratación dos años consecutivos por medio de una  consultoría la cual realizo un diagnóstico del estado del modelo de seguridad y privacidad de la información (MSPI) del INS, la revisión y actualización de la documentación y el levantamiento de los riesgos en todos los procesos de la entidad para garantizar la confidencialidad, integridad y disponibilidad de la información gestionada, adicionalmente se realizó una socialización de los riesgos, se entregó herramientas para su aplicación, seguimiento, control, se trabajó los procedimientos y las políticas específicas para Instituto Nacional de Salud.</w:t>
            </w:r>
          </w:p>
          <w:p w14:paraId="44DFBCA1" w14:textId="77777777" w:rsidR="00992986" w:rsidRDefault="00992986" w:rsidP="000F099B">
            <w:pPr>
              <w:rPr>
                <w:rFonts w:asciiTheme="majorHAnsi" w:eastAsia="Times New Roman" w:hAnsiTheme="majorHAnsi" w:cstheme="majorHAnsi"/>
                <w:color w:val="000000"/>
                <w:sz w:val="16"/>
                <w:szCs w:val="16"/>
                <w:lang w:val="es-CO" w:eastAsia="es-CO"/>
              </w:rPr>
            </w:pPr>
          </w:p>
          <w:p w14:paraId="56544068"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Actualmente el INS ha asignado recursos para la contratación de una consultoría que realice el diagnóstico del estado del modelo de seguridad y privacidad de la información (MSPI) del INS, la revisión y actualización de la documentación y el levantamiento de los </w:t>
            </w:r>
            <w:r w:rsidRPr="00E305B4">
              <w:rPr>
                <w:rFonts w:asciiTheme="majorHAnsi" w:eastAsia="Times New Roman" w:hAnsiTheme="majorHAnsi" w:cstheme="majorHAnsi"/>
                <w:color w:val="000000"/>
                <w:sz w:val="16"/>
                <w:szCs w:val="16"/>
                <w:lang w:val="es-CO" w:eastAsia="es-CO"/>
              </w:rPr>
              <w:lastRenderedPageBreak/>
              <w:t>riesgos en todos los procesos de la entidad para garantizar la confidencialidad, integridad y disponibilidad de la información gestionada en el Instituto Nacional de Salud.</w:t>
            </w:r>
          </w:p>
        </w:tc>
        <w:tc>
          <w:tcPr>
            <w:tcW w:w="1038" w:type="dxa"/>
            <w:shd w:val="clear" w:color="000000" w:fill="00B0F0"/>
            <w:noWrap/>
            <w:vAlign w:val="center"/>
            <w:hideMark/>
          </w:tcPr>
          <w:p w14:paraId="7937C067"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lastRenderedPageBreak/>
              <w:t>Definido</w:t>
            </w:r>
          </w:p>
        </w:tc>
        <w:tc>
          <w:tcPr>
            <w:tcW w:w="850" w:type="dxa"/>
            <w:shd w:val="clear" w:color="auto" w:fill="auto"/>
            <w:noWrap/>
            <w:vAlign w:val="center"/>
            <w:hideMark/>
          </w:tcPr>
          <w:p w14:paraId="6ADD1B76"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60%</w:t>
            </w:r>
          </w:p>
        </w:tc>
        <w:tc>
          <w:tcPr>
            <w:tcW w:w="3782" w:type="dxa"/>
            <w:shd w:val="clear" w:color="auto" w:fill="auto"/>
            <w:vAlign w:val="center"/>
            <w:hideMark/>
          </w:tcPr>
          <w:p w14:paraId="3F737B5F" w14:textId="77777777" w:rsidR="007F5968"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Durante el establecimiento del sistema se debe asegurar el planteamiento de acciones de mejora, para prevenir la materialización del riesgo.</w:t>
            </w:r>
          </w:p>
          <w:p w14:paraId="4C50CEF1" w14:textId="77777777" w:rsidR="004C7B85" w:rsidRDefault="004C7B85" w:rsidP="000F099B">
            <w:pPr>
              <w:rPr>
                <w:rFonts w:asciiTheme="majorHAnsi" w:eastAsia="Times New Roman" w:hAnsiTheme="majorHAnsi" w:cstheme="majorHAnsi"/>
                <w:color w:val="000000"/>
                <w:sz w:val="16"/>
                <w:szCs w:val="16"/>
                <w:lang w:val="es-CO" w:eastAsia="es-CO"/>
              </w:rPr>
            </w:pPr>
          </w:p>
          <w:p w14:paraId="531FCED0" w14:textId="77777777" w:rsidR="004C7B85" w:rsidRPr="004C7B85" w:rsidRDefault="004C7B85" w:rsidP="000F099B">
            <w:pPr>
              <w:rPr>
                <w:rFonts w:asciiTheme="majorHAnsi" w:eastAsia="Times New Roman" w:hAnsiTheme="majorHAnsi" w:cstheme="majorHAnsi"/>
                <w:b/>
                <w:bCs/>
                <w:color w:val="000000"/>
                <w:sz w:val="16"/>
                <w:szCs w:val="16"/>
                <w:lang w:val="es-CO" w:eastAsia="es-CO"/>
              </w:rPr>
            </w:pPr>
            <w:r w:rsidRPr="004C7B85">
              <w:rPr>
                <w:rFonts w:asciiTheme="majorHAnsi" w:eastAsia="Times New Roman" w:hAnsiTheme="majorHAnsi" w:cstheme="majorHAnsi"/>
                <w:b/>
                <w:bCs/>
                <w:color w:val="FF0000"/>
                <w:sz w:val="16"/>
                <w:szCs w:val="16"/>
                <w:lang w:val="es-CO" w:eastAsia="es-CO"/>
              </w:rPr>
              <w:t xml:space="preserve">Pendiente para poder incluir si se materializa poder incluirlo en el sistema SIGEM, </w:t>
            </w:r>
          </w:p>
        </w:tc>
        <w:tc>
          <w:tcPr>
            <w:tcW w:w="1763" w:type="dxa"/>
          </w:tcPr>
          <w:p w14:paraId="064DE48C" w14:textId="77777777" w:rsidR="007F5968" w:rsidRPr="00E305B4" w:rsidRDefault="004C7B85" w:rsidP="000F099B">
            <w:pPr>
              <w:rPr>
                <w:rFonts w:asciiTheme="majorHAnsi" w:eastAsia="Times New Roman" w:hAnsiTheme="majorHAnsi" w:cstheme="majorHAnsi"/>
                <w:color w:val="000000"/>
                <w:sz w:val="16"/>
                <w:szCs w:val="16"/>
                <w:lang w:val="es-CO" w:eastAsia="es-CO"/>
              </w:rPr>
            </w:pPr>
            <w:r w:rsidRPr="004C7B85">
              <w:rPr>
                <w:rFonts w:asciiTheme="majorHAnsi" w:eastAsia="Times New Roman" w:hAnsiTheme="majorHAnsi" w:cstheme="majorHAnsi"/>
                <w:color w:val="000000"/>
                <w:sz w:val="16"/>
                <w:szCs w:val="16"/>
                <w:highlight w:val="cyan"/>
                <w:lang w:val="es-CO" w:eastAsia="es-CO"/>
              </w:rPr>
              <w:t>Pendiente para poder incluir si se materializa poder incluirlo en el sistema SIGEM</w:t>
            </w:r>
            <w:r>
              <w:rPr>
                <w:rFonts w:asciiTheme="majorHAnsi" w:eastAsia="Times New Roman" w:hAnsiTheme="majorHAnsi" w:cstheme="majorHAnsi"/>
                <w:color w:val="000000"/>
                <w:sz w:val="16"/>
                <w:szCs w:val="16"/>
                <w:lang w:val="es-CO" w:eastAsia="es-CO"/>
              </w:rPr>
              <w:t>,</w:t>
            </w:r>
          </w:p>
        </w:tc>
      </w:tr>
      <w:tr w:rsidR="00274728" w:rsidRPr="00E305B4" w14:paraId="4D2761B5" w14:textId="77777777" w:rsidTr="007F5968">
        <w:trPr>
          <w:trHeight w:val="20"/>
        </w:trPr>
        <w:tc>
          <w:tcPr>
            <w:tcW w:w="840" w:type="dxa"/>
            <w:shd w:val="clear" w:color="auto" w:fill="auto"/>
            <w:vAlign w:val="center"/>
            <w:hideMark/>
          </w:tcPr>
          <w:p w14:paraId="06585269"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6.1.1 (e)</w:t>
            </w:r>
          </w:p>
        </w:tc>
        <w:tc>
          <w:tcPr>
            <w:tcW w:w="1854" w:type="dxa"/>
            <w:vMerge/>
            <w:vAlign w:val="center"/>
            <w:hideMark/>
          </w:tcPr>
          <w:p w14:paraId="055E356E"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0A3461AE"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manera de:</w:t>
            </w:r>
            <w:r w:rsidRPr="00E305B4">
              <w:rPr>
                <w:rFonts w:asciiTheme="majorHAnsi" w:eastAsia="Times New Roman" w:hAnsiTheme="majorHAnsi" w:cstheme="majorHAnsi"/>
                <w:color w:val="000000"/>
                <w:sz w:val="16"/>
                <w:szCs w:val="16"/>
                <w:lang w:val="es-CO" w:eastAsia="es-CO"/>
              </w:rPr>
              <w:br/>
              <w:t>1) integrar e implementar estas acciones en sus procesos del sistema de gestión de la seguridad de la información,</w:t>
            </w:r>
            <w:r w:rsidRPr="00E305B4">
              <w:rPr>
                <w:rFonts w:asciiTheme="majorHAnsi" w:eastAsia="Times New Roman" w:hAnsiTheme="majorHAnsi" w:cstheme="majorHAnsi"/>
                <w:color w:val="000000"/>
                <w:sz w:val="16"/>
                <w:szCs w:val="16"/>
                <w:lang w:val="es-CO" w:eastAsia="es-CO"/>
              </w:rPr>
              <w:br/>
              <w:t>2) evaluar la eficacia de estas acciones.</w:t>
            </w:r>
          </w:p>
        </w:tc>
        <w:tc>
          <w:tcPr>
            <w:tcW w:w="1368" w:type="dxa"/>
            <w:shd w:val="clear" w:color="000000" w:fill="008000"/>
            <w:vAlign w:val="center"/>
            <w:hideMark/>
          </w:tcPr>
          <w:p w14:paraId="169403D7"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4764085A" w14:textId="77777777" w:rsidR="00992986" w:rsidRDefault="00992986" w:rsidP="00992986">
            <w:pPr>
              <w:rPr>
                <w:rFonts w:asciiTheme="majorHAnsi" w:eastAsia="Times New Roman" w:hAnsiTheme="majorHAnsi" w:cstheme="majorHAnsi"/>
                <w:color w:val="000000"/>
                <w:sz w:val="16"/>
                <w:szCs w:val="16"/>
                <w:lang w:val="es-CO" w:eastAsia="es-CO"/>
              </w:rPr>
            </w:pPr>
            <w:r w:rsidRPr="00992986">
              <w:rPr>
                <w:rFonts w:asciiTheme="majorHAnsi" w:eastAsia="Times New Roman" w:hAnsiTheme="majorHAnsi" w:cstheme="majorHAnsi"/>
                <w:color w:val="000000"/>
                <w:sz w:val="16"/>
                <w:szCs w:val="16"/>
                <w:highlight w:val="magenta"/>
                <w:lang w:val="es-CO" w:eastAsia="es-CO"/>
              </w:rPr>
              <w:t>La alta Dirección con su apoyo y compromiso de la implementación  del sistema de seguridad  ha realizado la contratación dos años consecutivos por medio de una  consultoría la cual realizo un diagnóstico del estado del modelo de seguridad y privacidad de la información (MSPI) del INS, la revisión y actualización de la documentación y el levantamiento de los riesgos en todos los procesos de la entidad para garantizar la confidencialidad, integridad y disponibilidad de la información gestionada, adicionalmente se realizó una socialización de los riesgos, se entregó herramientas para su aplicación, seguimiento, control, se trabajó los procedimientos y las políticas específicas para Instituto Nacional de Salud.</w:t>
            </w:r>
          </w:p>
          <w:p w14:paraId="63A135D7" w14:textId="77777777" w:rsidR="00992986" w:rsidRDefault="00992986" w:rsidP="000F099B">
            <w:pPr>
              <w:rPr>
                <w:rFonts w:asciiTheme="majorHAnsi" w:eastAsia="Times New Roman" w:hAnsiTheme="majorHAnsi" w:cstheme="majorHAnsi"/>
                <w:color w:val="000000"/>
                <w:sz w:val="16"/>
                <w:szCs w:val="16"/>
                <w:lang w:val="es-CO" w:eastAsia="es-CO"/>
              </w:rPr>
            </w:pPr>
          </w:p>
          <w:p w14:paraId="3A9B6E72"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Actualmente el INS ha asignado recursos para la contratación de una consultoría que realice el diagnóstico del estado del modelo de seguridad y privacidad de la información (MSPI) del INS, la revisión y actualización de la documentación y el levantamiento de los riesgos en todos los procesos de la entidad para garantizar la confidencialidad, integridad y disponibilidad de la información gestionada en el Instituto Nacional de Salud.</w:t>
            </w:r>
          </w:p>
        </w:tc>
        <w:tc>
          <w:tcPr>
            <w:tcW w:w="1038" w:type="dxa"/>
            <w:shd w:val="clear" w:color="000000" w:fill="00B0F0"/>
            <w:noWrap/>
            <w:vAlign w:val="center"/>
            <w:hideMark/>
          </w:tcPr>
          <w:p w14:paraId="77E8D01F"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398524C1"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60%</w:t>
            </w:r>
          </w:p>
        </w:tc>
        <w:tc>
          <w:tcPr>
            <w:tcW w:w="3782" w:type="dxa"/>
            <w:shd w:val="clear" w:color="auto" w:fill="auto"/>
            <w:vAlign w:val="center"/>
            <w:hideMark/>
          </w:tcPr>
          <w:p w14:paraId="43DFE4BE"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Durante el establecimiento del sistema se debe garantizar que las acciones para el tratamiento de riesgos se hayan evaluado y validado su implementación.</w:t>
            </w:r>
          </w:p>
        </w:tc>
        <w:tc>
          <w:tcPr>
            <w:tcW w:w="1763" w:type="dxa"/>
          </w:tcPr>
          <w:p w14:paraId="7F5724B0"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BC0293" w:rsidRPr="00E305B4" w14:paraId="3A7AA690" w14:textId="77777777" w:rsidTr="007F5968">
        <w:trPr>
          <w:trHeight w:val="20"/>
        </w:trPr>
        <w:tc>
          <w:tcPr>
            <w:tcW w:w="840" w:type="dxa"/>
            <w:shd w:val="clear" w:color="000000" w:fill="538DD5"/>
            <w:noWrap/>
            <w:vAlign w:val="center"/>
            <w:hideMark/>
          </w:tcPr>
          <w:p w14:paraId="7ADC3AA3"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6.1.2</w:t>
            </w:r>
          </w:p>
        </w:tc>
        <w:tc>
          <w:tcPr>
            <w:tcW w:w="10057" w:type="dxa"/>
            <w:gridSpan w:val="5"/>
            <w:shd w:val="clear" w:color="000000" w:fill="538DD5"/>
            <w:noWrap/>
            <w:vAlign w:val="center"/>
            <w:hideMark/>
          </w:tcPr>
          <w:p w14:paraId="6DC26FE8"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Evaluación de riesgos de seguridad de la información</w:t>
            </w:r>
          </w:p>
        </w:tc>
        <w:tc>
          <w:tcPr>
            <w:tcW w:w="850" w:type="dxa"/>
            <w:shd w:val="clear" w:color="000000" w:fill="538DD5"/>
            <w:noWrap/>
            <w:vAlign w:val="center"/>
            <w:hideMark/>
          </w:tcPr>
          <w:p w14:paraId="574BF850"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4%</w:t>
            </w:r>
          </w:p>
        </w:tc>
        <w:tc>
          <w:tcPr>
            <w:tcW w:w="3782" w:type="dxa"/>
            <w:shd w:val="clear" w:color="000000" w:fill="538DD5"/>
            <w:noWrap/>
            <w:vAlign w:val="center"/>
            <w:hideMark/>
          </w:tcPr>
          <w:p w14:paraId="1881F799"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4D045696"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23B5ABB2" w14:textId="77777777" w:rsidTr="007F5968">
        <w:trPr>
          <w:trHeight w:val="20"/>
        </w:trPr>
        <w:tc>
          <w:tcPr>
            <w:tcW w:w="840" w:type="dxa"/>
            <w:shd w:val="clear" w:color="auto" w:fill="auto"/>
            <w:vAlign w:val="center"/>
            <w:hideMark/>
          </w:tcPr>
          <w:p w14:paraId="0E54B5A3"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6.1.2 (a)</w:t>
            </w:r>
          </w:p>
        </w:tc>
        <w:tc>
          <w:tcPr>
            <w:tcW w:w="1854" w:type="dxa"/>
            <w:vMerge w:val="restart"/>
            <w:shd w:val="clear" w:color="auto" w:fill="auto"/>
            <w:vAlign w:val="center"/>
            <w:hideMark/>
          </w:tcPr>
          <w:p w14:paraId="62C8E117"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organización debe definir y aplicar un proceso de evaluación de riesgos de la seguridad de la información que:</w:t>
            </w:r>
          </w:p>
        </w:tc>
        <w:tc>
          <w:tcPr>
            <w:tcW w:w="2551" w:type="dxa"/>
            <w:shd w:val="clear" w:color="auto" w:fill="auto"/>
            <w:vAlign w:val="center"/>
            <w:hideMark/>
          </w:tcPr>
          <w:p w14:paraId="4F701602"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establezca y mantenga criterios de riesgo de la seguridad de la información que incluyan:</w:t>
            </w:r>
            <w:r w:rsidRPr="00E305B4">
              <w:rPr>
                <w:rFonts w:asciiTheme="majorHAnsi" w:eastAsia="Times New Roman" w:hAnsiTheme="majorHAnsi" w:cstheme="majorHAnsi"/>
                <w:color w:val="000000"/>
                <w:sz w:val="16"/>
                <w:szCs w:val="16"/>
                <w:lang w:val="es-CO" w:eastAsia="es-CO"/>
              </w:rPr>
              <w:br/>
              <w:t>1) Los criterios de aceptación de riesgos; y</w:t>
            </w:r>
            <w:r w:rsidRPr="00E305B4">
              <w:rPr>
                <w:rFonts w:asciiTheme="majorHAnsi" w:eastAsia="Times New Roman" w:hAnsiTheme="majorHAnsi" w:cstheme="majorHAnsi"/>
                <w:color w:val="000000"/>
                <w:sz w:val="16"/>
                <w:szCs w:val="16"/>
                <w:lang w:val="es-CO" w:eastAsia="es-CO"/>
              </w:rPr>
              <w:br/>
              <w:t>2) los criterios para realizar evaluaciones de riesgos de la seguridad de la información</w:t>
            </w:r>
          </w:p>
        </w:tc>
        <w:tc>
          <w:tcPr>
            <w:tcW w:w="1368" w:type="dxa"/>
            <w:shd w:val="clear" w:color="000000" w:fill="FFC000"/>
            <w:vAlign w:val="center"/>
            <w:hideMark/>
          </w:tcPr>
          <w:p w14:paraId="1A091EB9"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PARCIAL</w:t>
            </w:r>
          </w:p>
        </w:tc>
        <w:tc>
          <w:tcPr>
            <w:tcW w:w="3246" w:type="dxa"/>
            <w:shd w:val="clear" w:color="auto" w:fill="auto"/>
            <w:vAlign w:val="center"/>
            <w:hideMark/>
          </w:tcPr>
          <w:p w14:paraId="6AEC6A6F"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El sistema integrado de gestión cuenta con el documento POE-D02.0000-010   V02_ Gestión del Riesgo_</w:t>
            </w:r>
            <w:r w:rsidR="002D35BF">
              <w:rPr>
                <w:rFonts w:asciiTheme="majorHAnsi" w:eastAsia="Times New Roman" w:hAnsiTheme="majorHAnsi" w:cstheme="majorHAnsi"/>
                <w:color w:val="000000"/>
                <w:sz w:val="16"/>
                <w:szCs w:val="16"/>
                <w:lang w:val="es-CO" w:eastAsia="es-CO"/>
              </w:rPr>
              <w:t xml:space="preserve"> I</w:t>
            </w:r>
            <w:r w:rsidRPr="00E305B4">
              <w:rPr>
                <w:rFonts w:asciiTheme="majorHAnsi" w:eastAsia="Times New Roman" w:hAnsiTheme="majorHAnsi" w:cstheme="majorHAnsi"/>
                <w:color w:val="000000"/>
                <w:sz w:val="16"/>
                <w:szCs w:val="16"/>
                <w:lang w:val="es-CO" w:eastAsia="es-CO"/>
              </w:rPr>
              <w:t>NS, el cual debe ser actualizado para que cumpla lo requerido para el análisis de riesgos de seguridad de la información</w:t>
            </w:r>
          </w:p>
        </w:tc>
        <w:tc>
          <w:tcPr>
            <w:tcW w:w="1038" w:type="dxa"/>
            <w:shd w:val="clear" w:color="000000" w:fill="F79646"/>
            <w:noWrap/>
            <w:vAlign w:val="center"/>
            <w:hideMark/>
          </w:tcPr>
          <w:p w14:paraId="0ABC0C41"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Inicial</w:t>
            </w:r>
          </w:p>
        </w:tc>
        <w:tc>
          <w:tcPr>
            <w:tcW w:w="850" w:type="dxa"/>
            <w:shd w:val="clear" w:color="auto" w:fill="auto"/>
            <w:noWrap/>
            <w:vAlign w:val="center"/>
            <w:hideMark/>
          </w:tcPr>
          <w:p w14:paraId="6B2ECAB0" w14:textId="77777777" w:rsidR="007F5968" w:rsidRPr="00E305B4" w:rsidRDefault="002D35BF" w:rsidP="002D35BF">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4</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7D22C12A" w14:textId="77777777" w:rsidR="007F5968"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debe revisar la metodología de gestión de riesgos de la institución, de manera que permita su aplicabilidad con riesgos de seguridad de la información.</w:t>
            </w:r>
          </w:p>
          <w:p w14:paraId="39595295" w14:textId="77777777" w:rsidR="002D35BF" w:rsidRDefault="002D35BF" w:rsidP="000F099B">
            <w:pPr>
              <w:rPr>
                <w:rFonts w:asciiTheme="majorHAnsi" w:eastAsia="Times New Roman" w:hAnsiTheme="majorHAnsi" w:cstheme="majorHAnsi"/>
                <w:color w:val="000000"/>
                <w:sz w:val="16"/>
                <w:szCs w:val="16"/>
                <w:lang w:val="es-CO" w:eastAsia="es-CO"/>
              </w:rPr>
            </w:pPr>
          </w:p>
          <w:p w14:paraId="32C1EE61" w14:textId="77777777" w:rsidR="002D35BF" w:rsidRPr="002D35BF" w:rsidRDefault="002D35BF" w:rsidP="000F099B">
            <w:pPr>
              <w:rPr>
                <w:rFonts w:asciiTheme="majorHAnsi" w:eastAsia="Times New Roman" w:hAnsiTheme="majorHAnsi" w:cstheme="majorHAnsi"/>
                <w:b/>
                <w:bCs/>
                <w:color w:val="000000"/>
                <w:sz w:val="16"/>
                <w:szCs w:val="16"/>
                <w:lang w:val="es-CO" w:eastAsia="es-CO"/>
              </w:rPr>
            </w:pPr>
            <w:r w:rsidRPr="002D35BF">
              <w:rPr>
                <w:rFonts w:asciiTheme="majorHAnsi" w:eastAsia="Times New Roman" w:hAnsiTheme="majorHAnsi" w:cstheme="majorHAnsi"/>
                <w:b/>
                <w:bCs/>
                <w:color w:val="FF0000"/>
                <w:sz w:val="16"/>
                <w:szCs w:val="16"/>
                <w:lang w:val="es-CO" w:eastAsia="es-CO"/>
              </w:rPr>
              <w:t xml:space="preserve">Se socializa la herramienta para implementar los seguimientos </w:t>
            </w:r>
          </w:p>
        </w:tc>
        <w:tc>
          <w:tcPr>
            <w:tcW w:w="1763" w:type="dxa"/>
          </w:tcPr>
          <w:p w14:paraId="54E2C751" w14:textId="77777777" w:rsidR="002D35BF" w:rsidRPr="002D35BF" w:rsidRDefault="002D35BF" w:rsidP="000F099B">
            <w:pPr>
              <w:rPr>
                <w:rFonts w:asciiTheme="majorHAnsi" w:eastAsia="Times New Roman" w:hAnsiTheme="majorHAnsi" w:cstheme="majorHAnsi"/>
                <w:color w:val="000000"/>
                <w:sz w:val="16"/>
                <w:szCs w:val="16"/>
                <w:highlight w:val="green"/>
                <w:lang w:val="es-CO" w:eastAsia="es-CO"/>
              </w:rPr>
            </w:pPr>
            <w:r w:rsidRPr="002D35BF">
              <w:rPr>
                <w:rFonts w:asciiTheme="majorHAnsi" w:eastAsia="Times New Roman" w:hAnsiTheme="majorHAnsi" w:cstheme="majorHAnsi"/>
                <w:color w:val="000000"/>
                <w:sz w:val="16"/>
                <w:szCs w:val="16"/>
                <w:highlight w:val="green"/>
                <w:lang w:val="es-CO" w:eastAsia="es-CO"/>
              </w:rPr>
              <w:t xml:space="preserve">Se </w:t>
            </w:r>
            <w:proofErr w:type="spellStart"/>
            <w:r w:rsidRPr="002D35BF">
              <w:rPr>
                <w:rFonts w:asciiTheme="majorHAnsi" w:eastAsia="Times New Roman" w:hAnsiTheme="majorHAnsi" w:cstheme="majorHAnsi"/>
                <w:color w:val="000000"/>
                <w:sz w:val="16"/>
                <w:szCs w:val="16"/>
                <w:highlight w:val="green"/>
                <w:lang w:val="es-CO" w:eastAsia="es-CO"/>
              </w:rPr>
              <w:t>esta</w:t>
            </w:r>
            <w:proofErr w:type="spellEnd"/>
            <w:r w:rsidRPr="002D35BF">
              <w:rPr>
                <w:rFonts w:asciiTheme="majorHAnsi" w:eastAsia="Times New Roman" w:hAnsiTheme="majorHAnsi" w:cstheme="majorHAnsi"/>
                <w:color w:val="000000"/>
                <w:sz w:val="16"/>
                <w:szCs w:val="16"/>
                <w:highlight w:val="green"/>
                <w:lang w:val="es-CO" w:eastAsia="es-CO"/>
              </w:rPr>
              <w:t xml:space="preserve"> realizando la socialización teniendo en cuenta: </w:t>
            </w:r>
          </w:p>
          <w:p w14:paraId="1B056497" w14:textId="77777777" w:rsidR="002D35BF" w:rsidRDefault="002D35BF" w:rsidP="00187127">
            <w:pPr>
              <w:pStyle w:val="Prrafodelista"/>
              <w:numPr>
                <w:ilvl w:val="0"/>
                <w:numId w:val="25"/>
              </w:numPr>
              <w:tabs>
                <w:tab w:val="left" w:pos="280"/>
              </w:tabs>
              <w:ind w:left="56" w:hanging="56"/>
              <w:rPr>
                <w:rFonts w:asciiTheme="majorHAnsi" w:eastAsia="Times New Roman" w:hAnsiTheme="majorHAnsi" w:cstheme="majorHAnsi"/>
                <w:color w:val="000000"/>
                <w:sz w:val="16"/>
                <w:szCs w:val="16"/>
                <w:lang w:val="es-CO" w:eastAsia="es-CO"/>
              </w:rPr>
            </w:pPr>
            <w:r w:rsidRPr="002D35BF">
              <w:rPr>
                <w:rFonts w:asciiTheme="majorHAnsi" w:eastAsia="Times New Roman" w:hAnsiTheme="majorHAnsi" w:cstheme="majorHAnsi"/>
                <w:color w:val="000000"/>
                <w:sz w:val="16"/>
                <w:szCs w:val="16"/>
                <w:highlight w:val="green"/>
                <w:lang w:val="es-CO" w:eastAsia="es-CO"/>
              </w:rPr>
              <w:t>Los criterios de aceptación de riesgos; y</w:t>
            </w:r>
            <w:r w:rsidRPr="002D35BF">
              <w:rPr>
                <w:rFonts w:asciiTheme="majorHAnsi" w:eastAsia="Times New Roman" w:hAnsiTheme="majorHAnsi" w:cstheme="majorHAnsi"/>
                <w:color w:val="000000"/>
                <w:sz w:val="16"/>
                <w:szCs w:val="16"/>
                <w:highlight w:val="green"/>
                <w:lang w:val="es-CO" w:eastAsia="es-CO"/>
              </w:rPr>
              <w:br/>
              <w:t xml:space="preserve">2) los criterios para realizar evaluaciones de riesgos de la </w:t>
            </w:r>
            <w:r w:rsidRPr="002D35BF">
              <w:rPr>
                <w:rFonts w:asciiTheme="majorHAnsi" w:eastAsia="Times New Roman" w:hAnsiTheme="majorHAnsi" w:cstheme="majorHAnsi"/>
                <w:color w:val="000000"/>
                <w:sz w:val="16"/>
                <w:szCs w:val="16"/>
                <w:highlight w:val="green"/>
                <w:lang w:val="es-CO" w:eastAsia="es-CO"/>
              </w:rPr>
              <w:lastRenderedPageBreak/>
              <w:t>seguridad de la información</w:t>
            </w:r>
          </w:p>
          <w:p w14:paraId="38F0B97E" w14:textId="77777777" w:rsidR="002D35BF" w:rsidRPr="002D35BF" w:rsidRDefault="002D35BF" w:rsidP="00187127">
            <w:pPr>
              <w:pStyle w:val="Prrafodelista"/>
              <w:numPr>
                <w:ilvl w:val="0"/>
                <w:numId w:val="25"/>
              </w:numPr>
              <w:tabs>
                <w:tab w:val="left" w:pos="280"/>
              </w:tabs>
              <w:ind w:left="56" w:hanging="56"/>
              <w:rPr>
                <w:rFonts w:asciiTheme="majorHAnsi" w:eastAsia="Times New Roman" w:hAnsiTheme="majorHAnsi" w:cstheme="majorHAnsi"/>
                <w:color w:val="000000"/>
                <w:sz w:val="16"/>
                <w:szCs w:val="16"/>
                <w:highlight w:val="green"/>
                <w:lang w:val="es-CO" w:eastAsia="es-CO"/>
              </w:rPr>
            </w:pPr>
            <w:r w:rsidRPr="002D35BF">
              <w:rPr>
                <w:rFonts w:asciiTheme="majorHAnsi" w:eastAsia="Times New Roman" w:hAnsiTheme="majorHAnsi" w:cstheme="majorHAnsi"/>
                <w:color w:val="000000"/>
                <w:sz w:val="16"/>
                <w:szCs w:val="16"/>
                <w:highlight w:val="green"/>
                <w:lang w:val="es-CO" w:eastAsia="es-CO"/>
              </w:rPr>
              <w:t>Se cuenta con una herramienta</w:t>
            </w:r>
            <w:r w:rsidR="000A3DC9">
              <w:rPr>
                <w:rFonts w:asciiTheme="majorHAnsi" w:eastAsia="Times New Roman" w:hAnsiTheme="majorHAnsi" w:cstheme="majorHAnsi"/>
                <w:color w:val="000000"/>
                <w:sz w:val="16"/>
                <w:szCs w:val="16"/>
                <w:highlight w:val="green"/>
                <w:lang w:val="es-CO" w:eastAsia="es-CO"/>
              </w:rPr>
              <w:t xml:space="preserve"> </w:t>
            </w:r>
            <w:r w:rsidRPr="002D35BF">
              <w:rPr>
                <w:rFonts w:asciiTheme="majorHAnsi" w:eastAsia="Times New Roman" w:hAnsiTheme="majorHAnsi" w:cstheme="majorHAnsi"/>
                <w:color w:val="000000"/>
                <w:sz w:val="16"/>
                <w:szCs w:val="16"/>
                <w:highlight w:val="green"/>
                <w:lang w:val="es-CO" w:eastAsia="es-CO"/>
              </w:rPr>
              <w:t xml:space="preserve">el seguimiento de las áreas </w:t>
            </w:r>
          </w:p>
          <w:p w14:paraId="0608D8F0" w14:textId="77777777" w:rsidR="002D35BF" w:rsidRPr="002D35BF" w:rsidRDefault="002D35BF" w:rsidP="002D35BF">
            <w:pPr>
              <w:tabs>
                <w:tab w:val="left" w:pos="280"/>
              </w:tabs>
              <w:ind w:left="56" w:hanging="56"/>
              <w:rPr>
                <w:rFonts w:asciiTheme="majorHAnsi" w:eastAsia="Times New Roman" w:hAnsiTheme="majorHAnsi" w:cstheme="majorHAnsi"/>
                <w:color w:val="000000"/>
                <w:sz w:val="16"/>
                <w:szCs w:val="16"/>
                <w:lang w:val="es-CO" w:eastAsia="es-CO"/>
              </w:rPr>
            </w:pPr>
          </w:p>
          <w:p w14:paraId="1C773194" w14:textId="77777777" w:rsidR="007F5968" w:rsidRPr="00E305B4" w:rsidRDefault="002D35BF"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 </w:t>
            </w:r>
          </w:p>
        </w:tc>
      </w:tr>
      <w:tr w:rsidR="00274728" w:rsidRPr="00E305B4" w14:paraId="10ED9C11" w14:textId="77777777" w:rsidTr="007F5968">
        <w:trPr>
          <w:trHeight w:val="20"/>
        </w:trPr>
        <w:tc>
          <w:tcPr>
            <w:tcW w:w="840" w:type="dxa"/>
            <w:shd w:val="clear" w:color="auto" w:fill="auto"/>
            <w:vAlign w:val="center"/>
            <w:hideMark/>
          </w:tcPr>
          <w:p w14:paraId="0B889699"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lastRenderedPageBreak/>
              <w:t>6.1.2 (b)</w:t>
            </w:r>
          </w:p>
        </w:tc>
        <w:tc>
          <w:tcPr>
            <w:tcW w:w="1854" w:type="dxa"/>
            <w:vMerge/>
            <w:vAlign w:val="center"/>
            <w:hideMark/>
          </w:tcPr>
          <w:p w14:paraId="12061146"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0DD16BEC"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asegure que las evaluaciones repetidas de riesgos de la seguridad de la información produzcan resultados consistentes, válidos y comparables</w:t>
            </w:r>
          </w:p>
        </w:tc>
        <w:tc>
          <w:tcPr>
            <w:tcW w:w="1368" w:type="dxa"/>
            <w:shd w:val="clear" w:color="000000" w:fill="C00000"/>
            <w:vAlign w:val="center"/>
            <w:hideMark/>
          </w:tcPr>
          <w:p w14:paraId="3625E6C5" w14:textId="77777777" w:rsidR="007F5968" w:rsidRDefault="008A4CCE" w:rsidP="008A4CCE">
            <w:pPr>
              <w:jc w:val="center"/>
              <w:rPr>
                <w:rFonts w:asciiTheme="majorHAnsi" w:eastAsia="Times New Roman" w:hAnsiTheme="majorHAnsi" w:cstheme="majorHAnsi"/>
                <w:b/>
                <w:bCs/>
                <w:color w:val="FFFFFF"/>
                <w:sz w:val="16"/>
                <w:szCs w:val="16"/>
                <w:lang w:val="es-CO" w:eastAsia="es-CO"/>
              </w:rPr>
            </w:pPr>
            <w:r>
              <w:rPr>
                <w:rFonts w:asciiTheme="majorHAnsi" w:eastAsia="Times New Roman" w:hAnsiTheme="majorHAnsi" w:cstheme="majorHAnsi"/>
                <w:b/>
                <w:bCs/>
                <w:color w:val="FFFFFF"/>
                <w:sz w:val="16"/>
                <w:szCs w:val="16"/>
                <w:lang w:val="es-CO" w:eastAsia="es-CO"/>
              </w:rPr>
              <w:t>PARCIAL</w:t>
            </w:r>
          </w:p>
          <w:p w14:paraId="6712E995" w14:textId="77777777" w:rsidR="008A4CCE" w:rsidRDefault="008A4CCE" w:rsidP="008A4CCE">
            <w:pPr>
              <w:rPr>
                <w:rFonts w:asciiTheme="majorHAnsi" w:eastAsia="Times New Roman" w:hAnsiTheme="majorHAnsi" w:cstheme="majorHAnsi"/>
                <w:b/>
                <w:bCs/>
                <w:color w:val="FFFFFF"/>
                <w:sz w:val="16"/>
                <w:szCs w:val="16"/>
                <w:lang w:val="es-CO" w:eastAsia="es-CO"/>
              </w:rPr>
            </w:pPr>
          </w:p>
          <w:p w14:paraId="5B97E70C" w14:textId="77777777" w:rsidR="008A4CCE" w:rsidRPr="00E305B4" w:rsidRDefault="008A4CCE" w:rsidP="000F099B">
            <w:pPr>
              <w:jc w:val="center"/>
              <w:rPr>
                <w:rFonts w:asciiTheme="majorHAnsi" w:eastAsia="Times New Roman" w:hAnsiTheme="majorHAnsi" w:cstheme="majorHAnsi"/>
                <w:b/>
                <w:bCs/>
                <w:color w:val="FFFFFF"/>
                <w:sz w:val="16"/>
                <w:szCs w:val="16"/>
                <w:lang w:val="es-CO" w:eastAsia="es-CO"/>
              </w:rPr>
            </w:pPr>
          </w:p>
        </w:tc>
        <w:tc>
          <w:tcPr>
            <w:tcW w:w="3246" w:type="dxa"/>
            <w:shd w:val="clear" w:color="auto" w:fill="auto"/>
            <w:vAlign w:val="center"/>
            <w:hideMark/>
          </w:tcPr>
          <w:p w14:paraId="6D87A31B" w14:textId="77777777" w:rsidR="007F5968" w:rsidRPr="00E305B4" w:rsidRDefault="00296890"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Para el 2019 se </w:t>
            </w:r>
            <w:r w:rsidRPr="00E305B4">
              <w:rPr>
                <w:rFonts w:asciiTheme="majorHAnsi" w:eastAsia="Times New Roman" w:hAnsiTheme="majorHAnsi" w:cstheme="majorHAnsi"/>
                <w:color w:val="000000"/>
                <w:sz w:val="16"/>
                <w:szCs w:val="16"/>
                <w:lang w:val="es-CO" w:eastAsia="es-CO"/>
              </w:rPr>
              <w:t>realizó</w:t>
            </w:r>
            <w:r w:rsidR="007F5968" w:rsidRPr="00E305B4">
              <w:rPr>
                <w:rFonts w:asciiTheme="majorHAnsi" w:eastAsia="Times New Roman" w:hAnsiTheme="majorHAnsi" w:cstheme="majorHAnsi"/>
                <w:color w:val="000000"/>
                <w:sz w:val="16"/>
                <w:szCs w:val="16"/>
                <w:lang w:val="es-CO" w:eastAsia="es-CO"/>
              </w:rPr>
              <w:t xml:space="preserve"> un análisis formal de riesgos en seguridad de la información</w:t>
            </w:r>
          </w:p>
        </w:tc>
        <w:tc>
          <w:tcPr>
            <w:tcW w:w="1038" w:type="dxa"/>
            <w:shd w:val="clear" w:color="000000" w:fill="FF0000"/>
            <w:noWrap/>
            <w:vAlign w:val="center"/>
            <w:hideMark/>
          </w:tcPr>
          <w:p w14:paraId="0789244B"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334210DC" w14:textId="77777777" w:rsidR="007F5968" w:rsidRPr="00E305B4" w:rsidRDefault="000A3DC9"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40</w:t>
            </w:r>
            <w:r w:rsidR="007F5968"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088DA9EF"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Realizar un análisis de riesgos de seguridad de la información teniendo en cuenta la metodología definida.</w:t>
            </w:r>
          </w:p>
        </w:tc>
        <w:tc>
          <w:tcPr>
            <w:tcW w:w="1763" w:type="dxa"/>
          </w:tcPr>
          <w:p w14:paraId="3DBCD96A" w14:textId="77777777" w:rsidR="007F5968" w:rsidRPr="000A3DC9" w:rsidRDefault="000A3DC9" w:rsidP="00187127">
            <w:pPr>
              <w:pStyle w:val="Prrafodelista"/>
              <w:numPr>
                <w:ilvl w:val="0"/>
                <w:numId w:val="27"/>
              </w:numPr>
              <w:tabs>
                <w:tab w:val="left" w:pos="138"/>
              </w:tabs>
              <w:ind w:left="-4" w:firstLine="4"/>
              <w:rPr>
                <w:rFonts w:asciiTheme="majorHAnsi" w:eastAsia="Times New Roman" w:hAnsiTheme="majorHAnsi" w:cstheme="majorHAnsi"/>
                <w:color w:val="000000"/>
                <w:sz w:val="16"/>
                <w:szCs w:val="16"/>
                <w:highlight w:val="green"/>
                <w:lang w:val="es-CO" w:eastAsia="es-CO"/>
              </w:rPr>
            </w:pPr>
            <w:r w:rsidRPr="000A3DC9">
              <w:rPr>
                <w:rFonts w:asciiTheme="majorHAnsi" w:eastAsia="Times New Roman" w:hAnsiTheme="majorHAnsi" w:cstheme="majorHAnsi"/>
                <w:color w:val="000000"/>
                <w:sz w:val="16"/>
                <w:szCs w:val="16"/>
                <w:highlight w:val="green"/>
                <w:lang w:val="es-CO" w:eastAsia="es-CO"/>
              </w:rPr>
              <w:t xml:space="preserve">Informe   de análisis de riesgos </w:t>
            </w:r>
          </w:p>
        </w:tc>
      </w:tr>
      <w:tr w:rsidR="00274728" w:rsidRPr="00E305B4" w14:paraId="29A356F0" w14:textId="77777777" w:rsidTr="007F5968">
        <w:trPr>
          <w:trHeight w:val="20"/>
        </w:trPr>
        <w:tc>
          <w:tcPr>
            <w:tcW w:w="840" w:type="dxa"/>
            <w:shd w:val="clear" w:color="auto" w:fill="auto"/>
            <w:vAlign w:val="center"/>
            <w:hideMark/>
          </w:tcPr>
          <w:p w14:paraId="0688E284"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6.1.2 (c)</w:t>
            </w:r>
          </w:p>
        </w:tc>
        <w:tc>
          <w:tcPr>
            <w:tcW w:w="1854" w:type="dxa"/>
            <w:vMerge/>
            <w:vAlign w:val="center"/>
            <w:hideMark/>
          </w:tcPr>
          <w:p w14:paraId="4C66871E"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145A6756"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identifique los riesgos de la seguridad de la información:</w:t>
            </w:r>
            <w:r w:rsidRPr="00E305B4">
              <w:rPr>
                <w:rFonts w:asciiTheme="majorHAnsi" w:eastAsia="Times New Roman" w:hAnsiTheme="majorHAnsi" w:cstheme="majorHAnsi"/>
                <w:color w:val="000000"/>
                <w:sz w:val="16"/>
                <w:szCs w:val="16"/>
                <w:lang w:val="es-CO" w:eastAsia="es-CO"/>
              </w:rPr>
              <w:br/>
              <w:t>1) aplicar el proceso de evaluación de riesgos de la seguridad de la información para identificar los riesgos asociados con la pérdida de confidencialidad, de integridad y de disponibilidad de información dentro del alcance del sistema de gestión de la seguridad de la información; e</w:t>
            </w:r>
            <w:r w:rsidRPr="00E305B4">
              <w:rPr>
                <w:rFonts w:asciiTheme="majorHAnsi" w:eastAsia="Times New Roman" w:hAnsiTheme="majorHAnsi" w:cstheme="majorHAnsi"/>
                <w:color w:val="000000"/>
                <w:sz w:val="16"/>
                <w:szCs w:val="16"/>
                <w:lang w:val="es-CO" w:eastAsia="es-CO"/>
              </w:rPr>
              <w:br/>
              <w:t>2) identificar a los dueños de los riesgos</w:t>
            </w:r>
          </w:p>
        </w:tc>
        <w:tc>
          <w:tcPr>
            <w:tcW w:w="1368" w:type="dxa"/>
            <w:shd w:val="clear" w:color="000000" w:fill="C00000"/>
            <w:vAlign w:val="center"/>
            <w:hideMark/>
          </w:tcPr>
          <w:p w14:paraId="6B3B151F" w14:textId="77777777" w:rsidR="007F5968" w:rsidRPr="00E305B4" w:rsidRDefault="00296890" w:rsidP="000F099B">
            <w:pPr>
              <w:jc w:val="center"/>
              <w:rPr>
                <w:rFonts w:asciiTheme="majorHAnsi" w:eastAsia="Times New Roman" w:hAnsiTheme="majorHAnsi" w:cstheme="majorHAnsi"/>
                <w:b/>
                <w:bCs/>
                <w:color w:val="FFFFFF"/>
                <w:sz w:val="16"/>
                <w:szCs w:val="16"/>
                <w:lang w:val="es-CO" w:eastAsia="es-CO"/>
              </w:rPr>
            </w:pPr>
            <w:r>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54A64005" w14:textId="77777777" w:rsidR="007F5968" w:rsidRPr="00E305B4" w:rsidRDefault="00296890"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Para el 2019 se </w:t>
            </w:r>
            <w:r w:rsidRPr="00E305B4">
              <w:rPr>
                <w:rFonts w:asciiTheme="majorHAnsi" w:eastAsia="Times New Roman" w:hAnsiTheme="majorHAnsi" w:cstheme="majorHAnsi"/>
                <w:color w:val="000000"/>
                <w:sz w:val="16"/>
                <w:szCs w:val="16"/>
                <w:lang w:val="es-CO" w:eastAsia="es-CO"/>
              </w:rPr>
              <w:t>realizó un análisis formal de riesgos en seguridad de la información</w:t>
            </w:r>
          </w:p>
        </w:tc>
        <w:tc>
          <w:tcPr>
            <w:tcW w:w="1038" w:type="dxa"/>
            <w:shd w:val="clear" w:color="000000" w:fill="FF0000"/>
            <w:noWrap/>
            <w:vAlign w:val="center"/>
            <w:hideMark/>
          </w:tcPr>
          <w:p w14:paraId="08F2E01A"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688C0894" w14:textId="77777777" w:rsidR="007F5968" w:rsidRPr="00E305B4" w:rsidRDefault="000A3DC9"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6</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5F320C60"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Realizar un análisis de riesgos de seguridad de la información teniendo en cuenta la metodología definida.</w:t>
            </w:r>
          </w:p>
        </w:tc>
        <w:tc>
          <w:tcPr>
            <w:tcW w:w="1763" w:type="dxa"/>
          </w:tcPr>
          <w:p w14:paraId="1E11AD52" w14:textId="77777777" w:rsidR="000A3DC9" w:rsidRPr="000A3DC9" w:rsidRDefault="000A3DC9" w:rsidP="00187127">
            <w:pPr>
              <w:pStyle w:val="Prrafodelista"/>
              <w:numPr>
                <w:ilvl w:val="0"/>
                <w:numId w:val="26"/>
              </w:numPr>
              <w:tabs>
                <w:tab w:val="left" w:pos="138"/>
              </w:tabs>
              <w:ind w:left="-4" w:firstLine="4"/>
              <w:rPr>
                <w:rFonts w:asciiTheme="majorHAnsi" w:eastAsia="Times New Roman" w:hAnsiTheme="majorHAnsi" w:cstheme="majorHAnsi"/>
                <w:color w:val="000000"/>
                <w:sz w:val="16"/>
                <w:szCs w:val="16"/>
                <w:highlight w:val="green"/>
                <w:lang w:val="es-CO" w:eastAsia="es-CO"/>
              </w:rPr>
            </w:pPr>
            <w:r w:rsidRPr="000A3DC9">
              <w:rPr>
                <w:rFonts w:asciiTheme="majorHAnsi" w:eastAsia="Times New Roman" w:hAnsiTheme="majorHAnsi" w:cstheme="majorHAnsi"/>
                <w:color w:val="000000"/>
                <w:sz w:val="16"/>
                <w:szCs w:val="16"/>
                <w:highlight w:val="green"/>
                <w:lang w:val="es-CO" w:eastAsia="es-CO"/>
              </w:rPr>
              <w:t>Informe del 2018.</w:t>
            </w:r>
          </w:p>
          <w:p w14:paraId="2732F297" w14:textId="77777777" w:rsidR="000A3DC9" w:rsidRPr="000A3DC9" w:rsidRDefault="000A3DC9" w:rsidP="000A3DC9">
            <w:pPr>
              <w:pStyle w:val="Prrafodelista"/>
              <w:tabs>
                <w:tab w:val="left" w:pos="138"/>
              </w:tabs>
              <w:ind w:left="-4" w:firstLine="4"/>
              <w:rPr>
                <w:rFonts w:asciiTheme="majorHAnsi" w:eastAsia="Times New Roman" w:hAnsiTheme="majorHAnsi" w:cstheme="majorHAnsi"/>
                <w:color w:val="000000"/>
                <w:sz w:val="16"/>
                <w:szCs w:val="16"/>
                <w:highlight w:val="green"/>
                <w:lang w:val="es-CO" w:eastAsia="es-CO"/>
              </w:rPr>
            </w:pPr>
          </w:p>
          <w:p w14:paraId="68914F7D" w14:textId="77777777" w:rsidR="007F5968" w:rsidRPr="000A3DC9" w:rsidRDefault="000A3DC9" w:rsidP="00187127">
            <w:pPr>
              <w:pStyle w:val="Prrafodelista"/>
              <w:numPr>
                <w:ilvl w:val="0"/>
                <w:numId w:val="26"/>
              </w:numPr>
              <w:tabs>
                <w:tab w:val="left" w:pos="138"/>
              </w:tabs>
              <w:ind w:left="-4" w:firstLine="4"/>
              <w:rPr>
                <w:rFonts w:asciiTheme="majorHAnsi" w:eastAsia="Times New Roman" w:hAnsiTheme="majorHAnsi" w:cstheme="majorHAnsi"/>
                <w:color w:val="000000"/>
                <w:sz w:val="16"/>
                <w:szCs w:val="16"/>
                <w:highlight w:val="green"/>
                <w:lang w:val="es-CO" w:eastAsia="es-CO"/>
              </w:rPr>
            </w:pPr>
            <w:r w:rsidRPr="000A3DC9">
              <w:rPr>
                <w:rFonts w:asciiTheme="majorHAnsi" w:eastAsia="Times New Roman" w:hAnsiTheme="majorHAnsi" w:cstheme="majorHAnsi"/>
                <w:color w:val="000000"/>
                <w:sz w:val="16"/>
                <w:szCs w:val="16"/>
                <w:highlight w:val="green"/>
                <w:lang w:val="es-CO" w:eastAsia="es-CO"/>
              </w:rPr>
              <w:t>Informe   de análisis de riesgos</w:t>
            </w:r>
          </w:p>
        </w:tc>
      </w:tr>
      <w:tr w:rsidR="00274728" w:rsidRPr="00E305B4" w14:paraId="62907F36" w14:textId="77777777" w:rsidTr="007F5968">
        <w:trPr>
          <w:trHeight w:val="20"/>
        </w:trPr>
        <w:tc>
          <w:tcPr>
            <w:tcW w:w="840" w:type="dxa"/>
            <w:shd w:val="clear" w:color="auto" w:fill="auto"/>
            <w:vAlign w:val="center"/>
            <w:hideMark/>
          </w:tcPr>
          <w:p w14:paraId="7A4AF792"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6.1.2 (d)</w:t>
            </w:r>
          </w:p>
        </w:tc>
        <w:tc>
          <w:tcPr>
            <w:tcW w:w="1854" w:type="dxa"/>
            <w:vMerge/>
            <w:vAlign w:val="center"/>
            <w:hideMark/>
          </w:tcPr>
          <w:p w14:paraId="290899B2"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49FD0CAB"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analice los riesgos de la seguridad de la información:</w:t>
            </w:r>
            <w:r w:rsidRPr="00E305B4">
              <w:rPr>
                <w:rFonts w:asciiTheme="majorHAnsi" w:eastAsia="Times New Roman" w:hAnsiTheme="majorHAnsi" w:cstheme="majorHAnsi"/>
                <w:color w:val="000000"/>
                <w:sz w:val="16"/>
                <w:szCs w:val="16"/>
                <w:lang w:val="es-CO" w:eastAsia="es-CO"/>
              </w:rPr>
              <w:br/>
              <w:t>1) evaluar las consecuencias potenciales si se materializaran los riesgos identificados en 6.1.2 c) 1);</w:t>
            </w:r>
            <w:r w:rsidRPr="00E305B4">
              <w:rPr>
                <w:rFonts w:asciiTheme="majorHAnsi" w:eastAsia="Times New Roman" w:hAnsiTheme="majorHAnsi" w:cstheme="majorHAnsi"/>
                <w:color w:val="000000"/>
                <w:sz w:val="16"/>
                <w:szCs w:val="16"/>
                <w:lang w:val="es-CO" w:eastAsia="es-CO"/>
              </w:rPr>
              <w:br/>
              <w:t>2) evaluar la probabilidad realista de que ocurran los riesgos identificados en 6.1.2 c) 1); y</w:t>
            </w:r>
            <w:r w:rsidRPr="00E305B4">
              <w:rPr>
                <w:rFonts w:asciiTheme="majorHAnsi" w:eastAsia="Times New Roman" w:hAnsiTheme="majorHAnsi" w:cstheme="majorHAnsi"/>
                <w:color w:val="000000"/>
                <w:sz w:val="16"/>
                <w:szCs w:val="16"/>
                <w:lang w:val="es-CO" w:eastAsia="es-CO"/>
              </w:rPr>
              <w:br/>
              <w:t>3) determinar los niveles de riesgo</w:t>
            </w:r>
          </w:p>
        </w:tc>
        <w:tc>
          <w:tcPr>
            <w:tcW w:w="1368" w:type="dxa"/>
            <w:shd w:val="clear" w:color="000000" w:fill="C00000"/>
            <w:vAlign w:val="center"/>
            <w:hideMark/>
          </w:tcPr>
          <w:p w14:paraId="0BDBCF25" w14:textId="77777777" w:rsidR="007F5968" w:rsidRPr="00E305B4" w:rsidRDefault="00296890" w:rsidP="000F099B">
            <w:pPr>
              <w:jc w:val="center"/>
              <w:rPr>
                <w:rFonts w:asciiTheme="majorHAnsi" w:eastAsia="Times New Roman" w:hAnsiTheme="majorHAnsi" w:cstheme="majorHAnsi"/>
                <w:b/>
                <w:bCs/>
                <w:color w:val="FFFFFF"/>
                <w:sz w:val="16"/>
                <w:szCs w:val="16"/>
                <w:lang w:val="es-CO" w:eastAsia="es-CO"/>
              </w:rPr>
            </w:pPr>
            <w:r>
              <w:rPr>
                <w:rFonts w:asciiTheme="majorHAnsi" w:eastAsia="Times New Roman" w:hAnsiTheme="majorHAnsi" w:cstheme="majorHAnsi"/>
                <w:b/>
                <w:bCs/>
                <w:color w:val="FFFFFF"/>
                <w:sz w:val="16"/>
                <w:szCs w:val="16"/>
                <w:lang w:val="es-CO" w:eastAsia="es-CO"/>
              </w:rPr>
              <w:t xml:space="preserve">Aplica </w:t>
            </w:r>
          </w:p>
        </w:tc>
        <w:tc>
          <w:tcPr>
            <w:tcW w:w="3246" w:type="dxa"/>
            <w:shd w:val="clear" w:color="auto" w:fill="auto"/>
            <w:vAlign w:val="center"/>
            <w:hideMark/>
          </w:tcPr>
          <w:p w14:paraId="0AA67BD0" w14:textId="77777777" w:rsidR="007F5968" w:rsidRPr="00E305B4" w:rsidRDefault="00296890"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Para el 2019 se </w:t>
            </w:r>
            <w:r w:rsidRPr="00E305B4">
              <w:rPr>
                <w:rFonts w:asciiTheme="majorHAnsi" w:eastAsia="Times New Roman" w:hAnsiTheme="majorHAnsi" w:cstheme="majorHAnsi"/>
                <w:color w:val="000000"/>
                <w:sz w:val="16"/>
                <w:szCs w:val="16"/>
                <w:lang w:val="es-CO" w:eastAsia="es-CO"/>
              </w:rPr>
              <w:t>realizó un análisis formal de riesgos en seguridad de la información</w:t>
            </w:r>
          </w:p>
        </w:tc>
        <w:tc>
          <w:tcPr>
            <w:tcW w:w="1038" w:type="dxa"/>
            <w:shd w:val="clear" w:color="000000" w:fill="FF0000"/>
            <w:noWrap/>
            <w:vAlign w:val="center"/>
            <w:hideMark/>
          </w:tcPr>
          <w:p w14:paraId="2FE884F9"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064216F5" w14:textId="77777777" w:rsidR="007F5968" w:rsidRPr="00E305B4" w:rsidRDefault="00296890"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20</w:t>
            </w:r>
            <w:r w:rsidR="007F5968"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307767F5"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Realizar un análisis de riesgos de seguridad de la información teniendo en cuenta la metodología definida.</w:t>
            </w:r>
          </w:p>
        </w:tc>
        <w:tc>
          <w:tcPr>
            <w:tcW w:w="1763" w:type="dxa"/>
          </w:tcPr>
          <w:p w14:paraId="6FDBE942" w14:textId="77777777" w:rsidR="007F5968" w:rsidRPr="00296890" w:rsidRDefault="00296890" w:rsidP="00187127">
            <w:pPr>
              <w:pStyle w:val="Prrafodelista"/>
              <w:numPr>
                <w:ilvl w:val="0"/>
                <w:numId w:val="28"/>
              </w:numPr>
              <w:tabs>
                <w:tab w:val="left" w:pos="138"/>
              </w:tabs>
              <w:ind w:left="-4" w:firstLine="4"/>
              <w:rPr>
                <w:rFonts w:asciiTheme="majorHAnsi" w:eastAsia="Times New Roman" w:hAnsiTheme="majorHAnsi" w:cstheme="majorHAnsi"/>
                <w:color w:val="000000"/>
                <w:sz w:val="16"/>
                <w:szCs w:val="16"/>
                <w:lang w:val="es-CO" w:eastAsia="es-CO"/>
              </w:rPr>
            </w:pPr>
            <w:r w:rsidRPr="00296890">
              <w:rPr>
                <w:rFonts w:asciiTheme="majorHAnsi" w:eastAsia="Times New Roman" w:hAnsiTheme="majorHAnsi" w:cstheme="majorHAnsi"/>
                <w:color w:val="000000"/>
                <w:sz w:val="16"/>
                <w:szCs w:val="16"/>
                <w:highlight w:val="green"/>
                <w:lang w:val="es-CO" w:eastAsia="es-CO"/>
              </w:rPr>
              <w:t>Informe   de análisis de riesgos</w:t>
            </w:r>
          </w:p>
        </w:tc>
      </w:tr>
      <w:tr w:rsidR="00274728" w:rsidRPr="00E305B4" w14:paraId="354063D1" w14:textId="77777777" w:rsidTr="007F5968">
        <w:trPr>
          <w:trHeight w:val="20"/>
        </w:trPr>
        <w:tc>
          <w:tcPr>
            <w:tcW w:w="840" w:type="dxa"/>
            <w:shd w:val="clear" w:color="auto" w:fill="auto"/>
            <w:vAlign w:val="center"/>
            <w:hideMark/>
          </w:tcPr>
          <w:p w14:paraId="5C6D2CBB"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6.1.2 (e)</w:t>
            </w:r>
          </w:p>
        </w:tc>
        <w:tc>
          <w:tcPr>
            <w:tcW w:w="1854" w:type="dxa"/>
            <w:vMerge/>
            <w:vAlign w:val="center"/>
            <w:hideMark/>
          </w:tcPr>
          <w:p w14:paraId="6359F446"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0CFD0251"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evalúe los riesgos de seguridad de la información:</w:t>
            </w:r>
            <w:r w:rsidRPr="00E305B4">
              <w:rPr>
                <w:rFonts w:asciiTheme="majorHAnsi" w:eastAsia="Times New Roman" w:hAnsiTheme="majorHAnsi" w:cstheme="majorHAnsi"/>
                <w:color w:val="000000"/>
                <w:sz w:val="16"/>
                <w:szCs w:val="16"/>
                <w:lang w:val="es-CO" w:eastAsia="es-CO"/>
              </w:rPr>
              <w:br/>
              <w:t>1) comparar los resultados del análisis de riesgos con los criterios de riesgo establecidos en 6.1.2 a) y</w:t>
            </w:r>
            <w:r w:rsidRPr="00E305B4">
              <w:rPr>
                <w:rFonts w:asciiTheme="majorHAnsi" w:eastAsia="Times New Roman" w:hAnsiTheme="majorHAnsi" w:cstheme="majorHAnsi"/>
                <w:color w:val="000000"/>
                <w:sz w:val="16"/>
                <w:szCs w:val="16"/>
                <w:lang w:val="es-CO" w:eastAsia="es-CO"/>
              </w:rPr>
              <w:br/>
              <w:t>2) priorizar los riesgos analizados para el tratamiento de riesgos.</w:t>
            </w:r>
          </w:p>
        </w:tc>
        <w:tc>
          <w:tcPr>
            <w:tcW w:w="1368" w:type="dxa"/>
            <w:shd w:val="clear" w:color="000000" w:fill="C00000"/>
            <w:vAlign w:val="center"/>
            <w:hideMark/>
          </w:tcPr>
          <w:p w14:paraId="614E8B94" w14:textId="77777777" w:rsidR="007F5968" w:rsidRDefault="00296890" w:rsidP="000F099B">
            <w:pPr>
              <w:jc w:val="center"/>
              <w:rPr>
                <w:rFonts w:asciiTheme="majorHAnsi" w:eastAsia="Times New Roman" w:hAnsiTheme="majorHAnsi" w:cstheme="majorHAnsi"/>
                <w:b/>
                <w:bCs/>
                <w:color w:val="FFFFFF"/>
                <w:sz w:val="16"/>
                <w:szCs w:val="16"/>
                <w:lang w:val="es-CO" w:eastAsia="es-CO"/>
              </w:rPr>
            </w:pPr>
            <w:r>
              <w:rPr>
                <w:rFonts w:asciiTheme="majorHAnsi" w:eastAsia="Times New Roman" w:hAnsiTheme="majorHAnsi" w:cstheme="majorHAnsi"/>
                <w:b/>
                <w:bCs/>
                <w:color w:val="FFFFFF"/>
                <w:sz w:val="16"/>
                <w:szCs w:val="16"/>
                <w:lang w:val="es-CO" w:eastAsia="es-CO"/>
              </w:rPr>
              <w:t>APLICA</w:t>
            </w:r>
          </w:p>
          <w:p w14:paraId="1D4DA8C6" w14:textId="77777777" w:rsidR="00296890" w:rsidRPr="00E305B4" w:rsidRDefault="00296890" w:rsidP="000F099B">
            <w:pPr>
              <w:jc w:val="center"/>
              <w:rPr>
                <w:rFonts w:asciiTheme="majorHAnsi" w:eastAsia="Times New Roman" w:hAnsiTheme="majorHAnsi" w:cstheme="majorHAnsi"/>
                <w:b/>
                <w:bCs/>
                <w:color w:val="FFFFFF"/>
                <w:sz w:val="16"/>
                <w:szCs w:val="16"/>
                <w:lang w:val="es-CO" w:eastAsia="es-CO"/>
              </w:rPr>
            </w:pPr>
          </w:p>
        </w:tc>
        <w:tc>
          <w:tcPr>
            <w:tcW w:w="3246" w:type="dxa"/>
            <w:shd w:val="clear" w:color="auto" w:fill="auto"/>
            <w:vAlign w:val="center"/>
            <w:hideMark/>
          </w:tcPr>
          <w:p w14:paraId="47507F02" w14:textId="77777777" w:rsidR="007F5968" w:rsidRPr="00E305B4" w:rsidRDefault="00296890"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Para el 2019 se </w:t>
            </w:r>
            <w:r w:rsidRPr="00E305B4">
              <w:rPr>
                <w:rFonts w:asciiTheme="majorHAnsi" w:eastAsia="Times New Roman" w:hAnsiTheme="majorHAnsi" w:cstheme="majorHAnsi"/>
                <w:color w:val="000000"/>
                <w:sz w:val="16"/>
                <w:szCs w:val="16"/>
                <w:lang w:val="es-CO" w:eastAsia="es-CO"/>
              </w:rPr>
              <w:t>realizó un análisis formal de riesgos en seguridad de la información</w:t>
            </w:r>
          </w:p>
        </w:tc>
        <w:tc>
          <w:tcPr>
            <w:tcW w:w="1038" w:type="dxa"/>
            <w:shd w:val="clear" w:color="000000" w:fill="FF0000"/>
            <w:noWrap/>
            <w:vAlign w:val="center"/>
            <w:hideMark/>
          </w:tcPr>
          <w:p w14:paraId="762549B6"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0F89D118" w14:textId="77777777" w:rsidR="007F5968" w:rsidRPr="00E305B4" w:rsidRDefault="00296890"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40</w:t>
            </w:r>
            <w:r w:rsidR="007F5968"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35273081"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Realizar un análisis de riesgos de seguridad de la información teniendo en cuenta la metodología definida.</w:t>
            </w:r>
          </w:p>
        </w:tc>
        <w:tc>
          <w:tcPr>
            <w:tcW w:w="1763" w:type="dxa"/>
          </w:tcPr>
          <w:p w14:paraId="3B7C93D7" w14:textId="77777777" w:rsidR="007F5968" w:rsidRPr="00296890" w:rsidRDefault="00296890" w:rsidP="00187127">
            <w:pPr>
              <w:pStyle w:val="Prrafodelista"/>
              <w:numPr>
                <w:ilvl w:val="0"/>
                <w:numId w:val="29"/>
              </w:numPr>
              <w:tabs>
                <w:tab w:val="left" w:pos="138"/>
              </w:tabs>
              <w:ind w:left="0" w:hanging="4"/>
              <w:rPr>
                <w:rFonts w:asciiTheme="majorHAnsi" w:eastAsia="Times New Roman" w:hAnsiTheme="majorHAnsi" w:cstheme="majorHAnsi"/>
                <w:color w:val="000000"/>
                <w:sz w:val="16"/>
                <w:szCs w:val="16"/>
                <w:lang w:val="es-CO" w:eastAsia="es-CO"/>
              </w:rPr>
            </w:pPr>
            <w:r w:rsidRPr="00296890">
              <w:rPr>
                <w:rFonts w:asciiTheme="majorHAnsi" w:eastAsia="Times New Roman" w:hAnsiTheme="majorHAnsi" w:cstheme="majorHAnsi"/>
                <w:color w:val="000000"/>
                <w:sz w:val="16"/>
                <w:szCs w:val="16"/>
                <w:highlight w:val="green"/>
                <w:lang w:val="es-CO" w:eastAsia="es-CO"/>
              </w:rPr>
              <w:t>Informe   de análisis de riesgos</w:t>
            </w:r>
          </w:p>
        </w:tc>
      </w:tr>
      <w:tr w:rsidR="00BC0293" w:rsidRPr="00E305B4" w14:paraId="18B2C8C2" w14:textId="77777777" w:rsidTr="007F5968">
        <w:trPr>
          <w:trHeight w:val="20"/>
        </w:trPr>
        <w:tc>
          <w:tcPr>
            <w:tcW w:w="840" w:type="dxa"/>
            <w:shd w:val="clear" w:color="000000" w:fill="538DD5"/>
            <w:noWrap/>
            <w:vAlign w:val="center"/>
            <w:hideMark/>
          </w:tcPr>
          <w:p w14:paraId="0242120F"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lastRenderedPageBreak/>
              <w:t>6.1.3</w:t>
            </w:r>
          </w:p>
        </w:tc>
        <w:tc>
          <w:tcPr>
            <w:tcW w:w="10057" w:type="dxa"/>
            <w:gridSpan w:val="5"/>
            <w:shd w:val="clear" w:color="000000" w:fill="538DD5"/>
            <w:noWrap/>
            <w:vAlign w:val="center"/>
            <w:hideMark/>
          </w:tcPr>
          <w:p w14:paraId="3BBB87B7"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Tratamiento de riesgos de seguridad de la información</w:t>
            </w:r>
          </w:p>
        </w:tc>
        <w:tc>
          <w:tcPr>
            <w:tcW w:w="850" w:type="dxa"/>
            <w:shd w:val="clear" w:color="000000" w:fill="538DD5"/>
            <w:noWrap/>
            <w:vAlign w:val="center"/>
            <w:hideMark/>
          </w:tcPr>
          <w:p w14:paraId="24524F27"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0%</w:t>
            </w:r>
          </w:p>
        </w:tc>
        <w:tc>
          <w:tcPr>
            <w:tcW w:w="3782" w:type="dxa"/>
            <w:shd w:val="clear" w:color="000000" w:fill="538DD5"/>
            <w:noWrap/>
            <w:vAlign w:val="center"/>
            <w:hideMark/>
          </w:tcPr>
          <w:p w14:paraId="04B34338"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6C2669B9"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96890" w:rsidRPr="00E305B4" w14:paraId="6B364D14" w14:textId="77777777" w:rsidTr="001E6000">
        <w:trPr>
          <w:trHeight w:val="20"/>
        </w:trPr>
        <w:tc>
          <w:tcPr>
            <w:tcW w:w="840" w:type="dxa"/>
            <w:shd w:val="clear" w:color="auto" w:fill="auto"/>
            <w:vAlign w:val="center"/>
            <w:hideMark/>
          </w:tcPr>
          <w:p w14:paraId="1DCC7958" w14:textId="77777777" w:rsidR="00296890" w:rsidRPr="00E305B4" w:rsidRDefault="00296890" w:rsidP="00296890">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6.1.3 (a)</w:t>
            </w:r>
          </w:p>
        </w:tc>
        <w:tc>
          <w:tcPr>
            <w:tcW w:w="1854" w:type="dxa"/>
            <w:vMerge w:val="restart"/>
            <w:shd w:val="clear" w:color="auto" w:fill="auto"/>
            <w:vAlign w:val="center"/>
            <w:hideMark/>
          </w:tcPr>
          <w:p w14:paraId="4857E7A8" w14:textId="77777777" w:rsidR="00296890" w:rsidRPr="00E305B4" w:rsidRDefault="00296890" w:rsidP="00296890">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organización debe definir y aplicar un proceso de tratamiento de riesgos de la seguridad de la información para:</w:t>
            </w:r>
          </w:p>
        </w:tc>
        <w:tc>
          <w:tcPr>
            <w:tcW w:w="2551" w:type="dxa"/>
            <w:shd w:val="clear" w:color="auto" w:fill="auto"/>
            <w:vAlign w:val="center"/>
            <w:hideMark/>
          </w:tcPr>
          <w:p w14:paraId="6F5EE4D5" w14:textId="77777777" w:rsidR="00296890" w:rsidRPr="00E305B4" w:rsidRDefault="00296890" w:rsidP="00296890">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seleccionar las opciones apropiadas de tratamiento de riesgos de la seguridad de la información, teniendo en cuenta los resultados de la evaluación de riesgos</w:t>
            </w:r>
          </w:p>
        </w:tc>
        <w:tc>
          <w:tcPr>
            <w:tcW w:w="1368" w:type="dxa"/>
            <w:shd w:val="clear" w:color="000000" w:fill="C00000"/>
            <w:vAlign w:val="center"/>
            <w:hideMark/>
          </w:tcPr>
          <w:p w14:paraId="267DA030" w14:textId="77777777" w:rsidR="00296890" w:rsidRPr="00E305B4" w:rsidRDefault="00296890" w:rsidP="00296890">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hideMark/>
          </w:tcPr>
          <w:p w14:paraId="3C771EFD" w14:textId="77777777" w:rsidR="00296890" w:rsidRDefault="00296890" w:rsidP="00296890">
            <w:r w:rsidRPr="008072D1">
              <w:rPr>
                <w:rFonts w:asciiTheme="majorHAnsi" w:eastAsia="Times New Roman" w:hAnsiTheme="majorHAnsi" w:cstheme="majorHAnsi"/>
                <w:color w:val="000000"/>
                <w:sz w:val="16"/>
                <w:szCs w:val="16"/>
                <w:lang w:val="es-CO" w:eastAsia="es-CO"/>
              </w:rPr>
              <w:t>Para el 2019 se realizó un análisis formal de riesgos en seguridad de la información</w:t>
            </w:r>
          </w:p>
        </w:tc>
        <w:tc>
          <w:tcPr>
            <w:tcW w:w="1038" w:type="dxa"/>
            <w:shd w:val="clear" w:color="000000" w:fill="FF0000"/>
            <w:noWrap/>
            <w:vAlign w:val="center"/>
            <w:hideMark/>
          </w:tcPr>
          <w:p w14:paraId="40ECA9AD" w14:textId="77777777" w:rsidR="00296890" w:rsidRPr="00E305B4" w:rsidRDefault="00296890" w:rsidP="00296890">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52361C8D" w14:textId="77777777" w:rsidR="00296890" w:rsidRPr="00E305B4" w:rsidRDefault="00F1775E" w:rsidP="00296890">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40</w:t>
            </w:r>
            <w:r w:rsidR="00296890"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00F22ABD" w14:textId="77777777" w:rsidR="00296890" w:rsidRPr="00E305B4" w:rsidRDefault="00296890" w:rsidP="00296890">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Una vez realizado el análisis de riesgos de seguridad de la información, seleccionar las opciones apropiadas de tratamiento de riesgos teniendo en cuenta la metodología definida.</w:t>
            </w:r>
          </w:p>
        </w:tc>
        <w:tc>
          <w:tcPr>
            <w:tcW w:w="1763" w:type="dxa"/>
          </w:tcPr>
          <w:p w14:paraId="655E3C25" w14:textId="77777777" w:rsidR="00296890" w:rsidRPr="00E305B4" w:rsidRDefault="00296890" w:rsidP="00296890">
            <w:pPr>
              <w:rPr>
                <w:rFonts w:asciiTheme="majorHAnsi" w:eastAsia="Times New Roman" w:hAnsiTheme="majorHAnsi" w:cstheme="majorHAnsi"/>
                <w:color w:val="000000"/>
                <w:sz w:val="16"/>
                <w:szCs w:val="16"/>
                <w:lang w:val="es-CO" w:eastAsia="es-CO"/>
              </w:rPr>
            </w:pPr>
            <w:r w:rsidRPr="00296890">
              <w:rPr>
                <w:rFonts w:asciiTheme="majorHAnsi" w:eastAsia="Times New Roman" w:hAnsiTheme="majorHAnsi" w:cstheme="majorHAnsi"/>
                <w:color w:val="000000"/>
                <w:sz w:val="16"/>
                <w:szCs w:val="16"/>
                <w:highlight w:val="green"/>
                <w:lang w:val="es-CO" w:eastAsia="es-CO"/>
              </w:rPr>
              <w:t>Informe   de análisis de riesgos</w:t>
            </w:r>
          </w:p>
        </w:tc>
      </w:tr>
      <w:tr w:rsidR="00296890" w:rsidRPr="00E305B4" w14:paraId="3EECF142" w14:textId="77777777" w:rsidTr="001E6000">
        <w:trPr>
          <w:trHeight w:val="20"/>
        </w:trPr>
        <w:tc>
          <w:tcPr>
            <w:tcW w:w="840" w:type="dxa"/>
            <w:shd w:val="clear" w:color="auto" w:fill="auto"/>
            <w:vAlign w:val="center"/>
            <w:hideMark/>
          </w:tcPr>
          <w:p w14:paraId="1D37E451" w14:textId="77777777" w:rsidR="00296890" w:rsidRPr="00E305B4" w:rsidRDefault="00296890" w:rsidP="00296890">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6.1.3 (b)</w:t>
            </w:r>
          </w:p>
        </w:tc>
        <w:tc>
          <w:tcPr>
            <w:tcW w:w="1854" w:type="dxa"/>
            <w:vMerge/>
            <w:vAlign w:val="center"/>
            <w:hideMark/>
          </w:tcPr>
          <w:p w14:paraId="043EA835" w14:textId="77777777" w:rsidR="00296890" w:rsidRPr="00E305B4" w:rsidRDefault="00296890" w:rsidP="00296890">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72C7B63E" w14:textId="77777777" w:rsidR="00296890" w:rsidRPr="00E305B4" w:rsidRDefault="00296890" w:rsidP="00296890">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determinar todos los controles que sean necesarios para implementar las opciones escogidas para el tratamiento de riesgos de la seguridad de la información</w:t>
            </w:r>
          </w:p>
        </w:tc>
        <w:tc>
          <w:tcPr>
            <w:tcW w:w="1368" w:type="dxa"/>
            <w:shd w:val="clear" w:color="000000" w:fill="C00000"/>
            <w:vAlign w:val="center"/>
            <w:hideMark/>
          </w:tcPr>
          <w:p w14:paraId="72A7632E" w14:textId="77777777" w:rsidR="00296890" w:rsidRPr="00E305B4" w:rsidRDefault="00296890" w:rsidP="00296890">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hideMark/>
          </w:tcPr>
          <w:p w14:paraId="1A94C2E4" w14:textId="77777777" w:rsidR="00296890" w:rsidRDefault="00296890" w:rsidP="00296890">
            <w:r w:rsidRPr="008072D1">
              <w:rPr>
                <w:rFonts w:asciiTheme="majorHAnsi" w:eastAsia="Times New Roman" w:hAnsiTheme="majorHAnsi" w:cstheme="majorHAnsi"/>
                <w:color w:val="000000"/>
                <w:sz w:val="16"/>
                <w:szCs w:val="16"/>
                <w:lang w:val="es-CO" w:eastAsia="es-CO"/>
              </w:rPr>
              <w:t>Para el 2019 se realizó un análisis formal de riesgos en seguridad de la información</w:t>
            </w:r>
          </w:p>
        </w:tc>
        <w:tc>
          <w:tcPr>
            <w:tcW w:w="1038" w:type="dxa"/>
            <w:shd w:val="clear" w:color="000000" w:fill="FF0000"/>
            <w:noWrap/>
            <w:vAlign w:val="center"/>
            <w:hideMark/>
          </w:tcPr>
          <w:p w14:paraId="58055CF3" w14:textId="77777777" w:rsidR="00296890" w:rsidRPr="00E305B4" w:rsidRDefault="00296890" w:rsidP="00296890">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60CBB1FD" w14:textId="77777777" w:rsidR="00296890" w:rsidRPr="00E305B4" w:rsidRDefault="00F1775E" w:rsidP="00296890">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60</w:t>
            </w:r>
            <w:r w:rsidR="00296890"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01781D57" w14:textId="77777777" w:rsidR="00296890" w:rsidRPr="00E305B4" w:rsidRDefault="00296890" w:rsidP="00296890">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Una vez realizado el análisis de riesgos de seguridad de la información, determinar todos los controles que sean necesarios para implementar las opciones escogidas para el tratamiento de riesgos teniendo en cuenta la metodología definida.</w:t>
            </w:r>
          </w:p>
        </w:tc>
        <w:tc>
          <w:tcPr>
            <w:tcW w:w="1763" w:type="dxa"/>
          </w:tcPr>
          <w:p w14:paraId="780A51B1" w14:textId="77777777" w:rsidR="00296890" w:rsidRPr="00E305B4" w:rsidRDefault="00296890" w:rsidP="00296890">
            <w:pPr>
              <w:rPr>
                <w:rFonts w:asciiTheme="majorHAnsi" w:eastAsia="Times New Roman" w:hAnsiTheme="majorHAnsi" w:cstheme="majorHAnsi"/>
                <w:color w:val="000000"/>
                <w:sz w:val="16"/>
                <w:szCs w:val="16"/>
                <w:lang w:val="es-CO" w:eastAsia="es-CO"/>
              </w:rPr>
            </w:pPr>
            <w:r w:rsidRPr="00296890">
              <w:rPr>
                <w:rFonts w:asciiTheme="majorHAnsi" w:eastAsia="Times New Roman" w:hAnsiTheme="majorHAnsi" w:cstheme="majorHAnsi"/>
                <w:color w:val="000000"/>
                <w:sz w:val="16"/>
                <w:szCs w:val="16"/>
                <w:highlight w:val="green"/>
                <w:lang w:val="es-CO" w:eastAsia="es-CO"/>
              </w:rPr>
              <w:t>Informe   de análisis de riesgos</w:t>
            </w:r>
          </w:p>
        </w:tc>
      </w:tr>
      <w:tr w:rsidR="00296890" w:rsidRPr="00E305B4" w14:paraId="6D46777F" w14:textId="77777777" w:rsidTr="001E6000">
        <w:trPr>
          <w:trHeight w:val="20"/>
        </w:trPr>
        <w:tc>
          <w:tcPr>
            <w:tcW w:w="840" w:type="dxa"/>
            <w:shd w:val="clear" w:color="auto" w:fill="auto"/>
            <w:vAlign w:val="center"/>
            <w:hideMark/>
          </w:tcPr>
          <w:p w14:paraId="22F03D08" w14:textId="77777777" w:rsidR="00296890" w:rsidRPr="00E305B4" w:rsidRDefault="00296890" w:rsidP="00296890">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6.1.3 (c)</w:t>
            </w:r>
          </w:p>
        </w:tc>
        <w:tc>
          <w:tcPr>
            <w:tcW w:w="1854" w:type="dxa"/>
            <w:vMerge/>
            <w:vAlign w:val="center"/>
            <w:hideMark/>
          </w:tcPr>
          <w:p w14:paraId="75621D64" w14:textId="77777777" w:rsidR="00296890" w:rsidRPr="00E305B4" w:rsidRDefault="00296890" w:rsidP="00296890">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500E7C17" w14:textId="77777777" w:rsidR="00296890" w:rsidRPr="00E305B4" w:rsidRDefault="00296890" w:rsidP="00296890">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comparar los controles determinados en 6.1.3 b) con los del Anexo A, y verificar que no se han omitidos controles necesarios</w:t>
            </w:r>
          </w:p>
        </w:tc>
        <w:tc>
          <w:tcPr>
            <w:tcW w:w="1368" w:type="dxa"/>
            <w:shd w:val="clear" w:color="000000" w:fill="C00000"/>
            <w:vAlign w:val="center"/>
            <w:hideMark/>
          </w:tcPr>
          <w:p w14:paraId="56BB5472" w14:textId="77777777" w:rsidR="00296890" w:rsidRPr="00E305B4" w:rsidRDefault="00296890" w:rsidP="00296890">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hideMark/>
          </w:tcPr>
          <w:p w14:paraId="6BA38E4D" w14:textId="77777777" w:rsidR="00296890" w:rsidRDefault="00296890" w:rsidP="00296890">
            <w:r w:rsidRPr="008072D1">
              <w:rPr>
                <w:rFonts w:asciiTheme="majorHAnsi" w:eastAsia="Times New Roman" w:hAnsiTheme="majorHAnsi" w:cstheme="majorHAnsi"/>
                <w:color w:val="000000"/>
                <w:sz w:val="16"/>
                <w:szCs w:val="16"/>
                <w:lang w:val="es-CO" w:eastAsia="es-CO"/>
              </w:rPr>
              <w:t>Para el 2019 se realizó un análisis formal de riesgos en seguridad de la información</w:t>
            </w:r>
          </w:p>
        </w:tc>
        <w:tc>
          <w:tcPr>
            <w:tcW w:w="1038" w:type="dxa"/>
            <w:shd w:val="clear" w:color="000000" w:fill="FF0000"/>
            <w:noWrap/>
            <w:vAlign w:val="center"/>
            <w:hideMark/>
          </w:tcPr>
          <w:p w14:paraId="7C970798" w14:textId="77777777" w:rsidR="00296890" w:rsidRPr="00E305B4" w:rsidRDefault="00296890" w:rsidP="00296890">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490B5A83" w14:textId="77777777" w:rsidR="00296890" w:rsidRPr="00E305B4" w:rsidRDefault="00F1775E" w:rsidP="00296890">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40</w:t>
            </w:r>
            <w:r w:rsidR="00296890"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539C3D03" w14:textId="77777777" w:rsidR="00296890" w:rsidRPr="00E305B4" w:rsidRDefault="00296890" w:rsidP="00296890">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Una vez realizado el análisis de riesgos de seguridad de la información, revisar los controles para el tratamiento de riesgos con el fin de que no sean omitidos controles necesarios.</w:t>
            </w:r>
          </w:p>
        </w:tc>
        <w:tc>
          <w:tcPr>
            <w:tcW w:w="1763" w:type="dxa"/>
          </w:tcPr>
          <w:p w14:paraId="2BDD8BBC" w14:textId="77777777" w:rsidR="00296890" w:rsidRPr="00E305B4" w:rsidRDefault="00296890" w:rsidP="00296890">
            <w:pPr>
              <w:rPr>
                <w:rFonts w:asciiTheme="majorHAnsi" w:eastAsia="Times New Roman" w:hAnsiTheme="majorHAnsi" w:cstheme="majorHAnsi"/>
                <w:color w:val="000000"/>
                <w:sz w:val="16"/>
                <w:szCs w:val="16"/>
                <w:lang w:val="es-CO" w:eastAsia="es-CO"/>
              </w:rPr>
            </w:pPr>
            <w:r w:rsidRPr="00296890">
              <w:rPr>
                <w:rFonts w:asciiTheme="majorHAnsi" w:eastAsia="Times New Roman" w:hAnsiTheme="majorHAnsi" w:cstheme="majorHAnsi"/>
                <w:color w:val="000000"/>
                <w:sz w:val="16"/>
                <w:szCs w:val="16"/>
                <w:highlight w:val="green"/>
                <w:lang w:val="es-CO" w:eastAsia="es-CO"/>
              </w:rPr>
              <w:t>Informe   de análisis de riesgos</w:t>
            </w:r>
          </w:p>
        </w:tc>
      </w:tr>
      <w:tr w:rsidR="00296890" w:rsidRPr="00E305B4" w14:paraId="5236D813" w14:textId="77777777" w:rsidTr="001E6000">
        <w:trPr>
          <w:trHeight w:val="20"/>
        </w:trPr>
        <w:tc>
          <w:tcPr>
            <w:tcW w:w="840" w:type="dxa"/>
            <w:shd w:val="clear" w:color="auto" w:fill="auto"/>
            <w:vAlign w:val="center"/>
            <w:hideMark/>
          </w:tcPr>
          <w:p w14:paraId="436338ED" w14:textId="77777777" w:rsidR="00296890" w:rsidRPr="00E305B4" w:rsidRDefault="00296890" w:rsidP="00296890">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6.1.3 (d)</w:t>
            </w:r>
          </w:p>
        </w:tc>
        <w:tc>
          <w:tcPr>
            <w:tcW w:w="1854" w:type="dxa"/>
            <w:vMerge/>
            <w:vAlign w:val="center"/>
            <w:hideMark/>
          </w:tcPr>
          <w:p w14:paraId="508BA441" w14:textId="77777777" w:rsidR="00296890" w:rsidRPr="00E305B4" w:rsidRDefault="00296890" w:rsidP="00296890">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18292862" w14:textId="77777777" w:rsidR="00296890" w:rsidRPr="00E305B4" w:rsidRDefault="00296890" w:rsidP="00296890">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producir una declaración de aplicabilidad que contenga los controles necesarios (véanse 6.1.3 b) y c)) y la justificación de las inclusiones, ya sea que se implementen o no, y la justificación para las exclusiones de los controles del Anexo A</w:t>
            </w:r>
          </w:p>
        </w:tc>
        <w:tc>
          <w:tcPr>
            <w:tcW w:w="1368" w:type="dxa"/>
            <w:shd w:val="clear" w:color="000000" w:fill="C00000"/>
            <w:vAlign w:val="center"/>
            <w:hideMark/>
          </w:tcPr>
          <w:p w14:paraId="7DFEF81D" w14:textId="77777777" w:rsidR="00296890" w:rsidRPr="00E305B4" w:rsidRDefault="00296890" w:rsidP="00296890">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hideMark/>
          </w:tcPr>
          <w:p w14:paraId="3981596F" w14:textId="77777777" w:rsidR="00296890" w:rsidRDefault="00296890" w:rsidP="00296890">
            <w:r w:rsidRPr="008072D1">
              <w:rPr>
                <w:rFonts w:asciiTheme="majorHAnsi" w:eastAsia="Times New Roman" w:hAnsiTheme="majorHAnsi" w:cstheme="majorHAnsi"/>
                <w:color w:val="000000"/>
                <w:sz w:val="16"/>
                <w:szCs w:val="16"/>
                <w:lang w:val="es-CO" w:eastAsia="es-CO"/>
              </w:rPr>
              <w:t>Para el 2019 se realizó un análisis formal de riesgos en seguridad de la información</w:t>
            </w:r>
          </w:p>
        </w:tc>
        <w:tc>
          <w:tcPr>
            <w:tcW w:w="1038" w:type="dxa"/>
            <w:shd w:val="clear" w:color="000000" w:fill="FF0000"/>
            <w:noWrap/>
            <w:vAlign w:val="center"/>
            <w:hideMark/>
          </w:tcPr>
          <w:p w14:paraId="3250DC8E" w14:textId="77777777" w:rsidR="00296890" w:rsidRPr="00E305B4" w:rsidRDefault="00296890" w:rsidP="00296890">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6329F645" w14:textId="77777777" w:rsidR="00296890" w:rsidRPr="00E305B4" w:rsidRDefault="00F1775E" w:rsidP="00F1775E">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10</w:t>
            </w:r>
            <w:r w:rsidR="00296890"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5BD9A83B" w14:textId="77777777" w:rsidR="00296890" w:rsidRPr="00E305B4" w:rsidRDefault="00296890" w:rsidP="00296890">
            <w:pPr>
              <w:rPr>
                <w:rFonts w:asciiTheme="majorHAnsi" w:eastAsia="Times New Roman" w:hAnsiTheme="majorHAnsi" w:cstheme="majorHAnsi"/>
                <w:sz w:val="16"/>
                <w:szCs w:val="16"/>
                <w:lang w:val="es-CO" w:eastAsia="es-CO"/>
              </w:rPr>
            </w:pPr>
            <w:r w:rsidRPr="00296890">
              <w:rPr>
                <w:rFonts w:asciiTheme="majorHAnsi" w:eastAsia="Times New Roman" w:hAnsiTheme="majorHAnsi" w:cstheme="majorHAnsi"/>
                <w:sz w:val="16"/>
                <w:szCs w:val="16"/>
                <w:highlight w:val="green"/>
                <w:lang w:val="es-CO" w:eastAsia="es-CO"/>
              </w:rPr>
              <w:t>Elaborar la declaración de aplicabilidad que contenga los controles necesarios sobre el Anexo A de la ISO27001 con sus respectivas justificaciones.</w:t>
            </w:r>
          </w:p>
        </w:tc>
        <w:tc>
          <w:tcPr>
            <w:tcW w:w="1763" w:type="dxa"/>
          </w:tcPr>
          <w:p w14:paraId="4817C03E" w14:textId="77777777" w:rsidR="00296890" w:rsidRPr="00E305B4" w:rsidRDefault="00F1775E" w:rsidP="00296890">
            <w:pPr>
              <w:rPr>
                <w:rFonts w:asciiTheme="majorHAnsi" w:eastAsia="Times New Roman" w:hAnsiTheme="majorHAnsi" w:cstheme="majorHAnsi"/>
                <w:sz w:val="16"/>
                <w:szCs w:val="16"/>
                <w:lang w:val="es-CO" w:eastAsia="es-CO"/>
              </w:rPr>
            </w:pPr>
            <w:r>
              <w:rPr>
                <w:rFonts w:asciiTheme="majorHAnsi" w:eastAsia="Times New Roman" w:hAnsiTheme="majorHAnsi" w:cstheme="majorHAnsi"/>
                <w:sz w:val="16"/>
                <w:szCs w:val="16"/>
                <w:lang w:val="es-CO" w:eastAsia="es-CO"/>
              </w:rPr>
              <w:t>Informe de Declaratoria</w:t>
            </w:r>
          </w:p>
        </w:tc>
      </w:tr>
      <w:tr w:rsidR="00296890" w:rsidRPr="00E305B4" w14:paraId="253E3720" w14:textId="77777777" w:rsidTr="001E6000">
        <w:trPr>
          <w:trHeight w:val="20"/>
        </w:trPr>
        <w:tc>
          <w:tcPr>
            <w:tcW w:w="840" w:type="dxa"/>
            <w:shd w:val="clear" w:color="auto" w:fill="auto"/>
            <w:vAlign w:val="center"/>
            <w:hideMark/>
          </w:tcPr>
          <w:p w14:paraId="1D0C2AAB" w14:textId="77777777" w:rsidR="00296890" w:rsidRPr="00E305B4" w:rsidRDefault="00296890" w:rsidP="00296890">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6.1.3 (e)</w:t>
            </w:r>
          </w:p>
        </w:tc>
        <w:tc>
          <w:tcPr>
            <w:tcW w:w="1854" w:type="dxa"/>
            <w:vMerge/>
            <w:vAlign w:val="center"/>
            <w:hideMark/>
          </w:tcPr>
          <w:p w14:paraId="76CDACD2" w14:textId="77777777" w:rsidR="00296890" w:rsidRPr="00E305B4" w:rsidRDefault="00296890" w:rsidP="00296890">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4B6BF82A" w14:textId="77777777" w:rsidR="00296890" w:rsidRPr="00E305B4" w:rsidRDefault="00296890" w:rsidP="00296890">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formular un plan de tratamiento de riesgos de la seguridad de la información; y</w:t>
            </w:r>
          </w:p>
        </w:tc>
        <w:tc>
          <w:tcPr>
            <w:tcW w:w="1368" w:type="dxa"/>
            <w:shd w:val="clear" w:color="000000" w:fill="C00000"/>
            <w:vAlign w:val="center"/>
            <w:hideMark/>
          </w:tcPr>
          <w:p w14:paraId="081C311D" w14:textId="77777777" w:rsidR="00296890" w:rsidRPr="00E305B4" w:rsidRDefault="00296890" w:rsidP="00296890">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hideMark/>
          </w:tcPr>
          <w:p w14:paraId="3C94CE72" w14:textId="77777777" w:rsidR="00296890" w:rsidRDefault="00296890" w:rsidP="00296890">
            <w:r w:rsidRPr="008072D1">
              <w:rPr>
                <w:rFonts w:asciiTheme="majorHAnsi" w:eastAsia="Times New Roman" w:hAnsiTheme="majorHAnsi" w:cstheme="majorHAnsi"/>
                <w:color w:val="000000"/>
                <w:sz w:val="16"/>
                <w:szCs w:val="16"/>
                <w:lang w:val="es-CO" w:eastAsia="es-CO"/>
              </w:rPr>
              <w:t xml:space="preserve">Para el 2019 se realizó </w:t>
            </w:r>
            <w:r w:rsidR="00F1775E">
              <w:rPr>
                <w:rFonts w:asciiTheme="majorHAnsi" w:eastAsia="Times New Roman" w:hAnsiTheme="majorHAnsi" w:cstheme="majorHAnsi"/>
                <w:color w:val="000000"/>
                <w:sz w:val="16"/>
                <w:szCs w:val="16"/>
                <w:lang w:val="es-CO" w:eastAsia="es-CO"/>
              </w:rPr>
              <w:t>un plan de tratamientos de riesgos</w:t>
            </w:r>
          </w:p>
        </w:tc>
        <w:tc>
          <w:tcPr>
            <w:tcW w:w="1038" w:type="dxa"/>
            <w:shd w:val="clear" w:color="000000" w:fill="FF0000"/>
            <w:noWrap/>
            <w:vAlign w:val="center"/>
            <w:hideMark/>
          </w:tcPr>
          <w:p w14:paraId="33C0CBFF" w14:textId="77777777" w:rsidR="00296890" w:rsidRPr="00E305B4" w:rsidRDefault="00296890" w:rsidP="00296890">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065ED4A6" w14:textId="77777777" w:rsidR="00296890" w:rsidRPr="00E305B4" w:rsidRDefault="00F1775E" w:rsidP="00296890">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60</w:t>
            </w:r>
            <w:r w:rsidR="00296890"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7F10A411" w14:textId="77777777" w:rsidR="00296890" w:rsidRPr="00E305B4" w:rsidRDefault="00296890" w:rsidP="00296890">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Formular el plan de tratamiento de riesgos de la seguridad de la información.</w:t>
            </w:r>
          </w:p>
        </w:tc>
        <w:tc>
          <w:tcPr>
            <w:tcW w:w="1763" w:type="dxa"/>
          </w:tcPr>
          <w:p w14:paraId="3C73101F" w14:textId="77777777" w:rsidR="00296890" w:rsidRPr="00E305B4" w:rsidRDefault="00296890" w:rsidP="00296890">
            <w:pPr>
              <w:rPr>
                <w:rFonts w:asciiTheme="majorHAnsi" w:eastAsia="Times New Roman" w:hAnsiTheme="majorHAnsi" w:cstheme="majorHAnsi"/>
                <w:color w:val="000000"/>
                <w:sz w:val="16"/>
                <w:szCs w:val="16"/>
                <w:lang w:val="es-CO" w:eastAsia="es-CO"/>
              </w:rPr>
            </w:pPr>
            <w:r w:rsidRPr="00296890">
              <w:rPr>
                <w:rFonts w:asciiTheme="majorHAnsi" w:eastAsia="Times New Roman" w:hAnsiTheme="majorHAnsi" w:cstheme="majorHAnsi"/>
                <w:color w:val="000000"/>
                <w:sz w:val="16"/>
                <w:szCs w:val="16"/>
                <w:highlight w:val="green"/>
                <w:lang w:val="es-CO" w:eastAsia="es-CO"/>
              </w:rPr>
              <w:t>Informe   de análisis de riesgos</w:t>
            </w:r>
          </w:p>
        </w:tc>
      </w:tr>
      <w:tr w:rsidR="00296890" w:rsidRPr="00E305B4" w14:paraId="58D478BD" w14:textId="77777777" w:rsidTr="001E6000">
        <w:trPr>
          <w:trHeight w:val="20"/>
        </w:trPr>
        <w:tc>
          <w:tcPr>
            <w:tcW w:w="840" w:type="dxa"/>
            <w:shd w:val="clear" w:color="auto" w:fill="auto"/>
            <w:vAlign w:val="center"/>
            <w:hideMark/>
          </w:tcPr>
          <w:p w14:paraId="5ED59380" w14:textId="77777777" w:rsidR="00296890" w:rsidRPr="00E305B4" w:rsidRDefault="00296890" w:rsidP="00296890">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6.1.3 (f)</w:t>
            </w:r>
          </w:p>
        </w:tc>
        <w:tc>
          <w:tcPr>
            <w:tcW w:w="1854" w:type="dxa"/>
            <w:vMerge/>
            <w:vAlign w:val="center"/>
            <w:hideMark/>
          </w:tcPr>
          <w:p w14:paraId="42887D47" w14:textId="77777777" w:rsidR="00296890" w:rsidRPr="00E305B4" w:rsidRDefault="00296890" w:rsidP="00296890">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093AD63A" w14:textId="77777777" w:rsidR="00296890" w:rsidRPr="00E305B4" w:rsidRDefault="00296890" w:rsidP="00296890">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obtener, de parte de los dueños de los riesgos, la aprobación del plan de tratamiento de riesgos de la seguridad de la información, y la aceptación de los riesgos residuales de la seguridad de la información.</w:t>
            </w:r>
          </w:p>
        </w:tc>
        <w:tc>
          <w:tcPr>
            <w:tcW w:w="1368" w:type="dxa"/>
            <w:shd w:val="clear" w:color="000000" w:fill="C00000"/>
            <w:vAlign w:val="center"/>
            <w:hideMark/>
          </w:tcPr>
          <w:p w14:paraId="313922D9" w14:textId="77777777" w:rsidR="00296890" w:rsidRPr="00E305B4" w:rsidRDefault="00296890" w:rsidP="00296890">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hideMark/>
          </w:tcPr>
          <w:p w14:paraId="77FAA603" w14:textId="77777777" w:rsidR="00296890" w:rsidRDefault="00296890" w:rsidP="00296890">
            <w:r w:rsidRPr="008072D1">
              <w:rPr>
                <w:rFonts w:asciiTheme="majorHAnsi" w:eastAsia="Times New Roman" w:hAnsiTheme="majorHAnsi" w:cstheme="majorHAnsi"/>
                <w:color w:val="000000"/>
                <w:sz w:val="16"/>
                <w:szCs w:val="16"/>
                <w:lang w:val="es-CO" w:eastAsia="es-CO"/>
              </w:rPr>
              <w:t>Para el 2019 se realizó un análisis formal de riesgos en seguridad de la información</w:t>
            </w:r>
            <w:r w:rsidR="00F1775E">
              <w:rPr>
                <w:rFonts w:asciiTheme="majorHAnsi" w:eastAsia="Times New Roman" w:hAnsiTheme="majorHAnsi" w:cstheme="majorHAnsi"/>
                <w:color w:val="000000"/>
                <w:sz w:val="16"/>
                <w:szCs w:val="16"/>
                <w:lang w:val="es-CO" w:eastAsia="es-CO"/>
              </w:rPr>
              <w:t xml:space="preserve"> y las reuniones con los dueños de los riesgos.</w:t>
            </w:r>
          </w:p>
        </w:tc>
        <w:tc>
          <w:tcPr>
            <w:tcW w:w="1038" w:type="dxa"/>
            <w:shd w:val="clear" w:color="000000" w:fill="FF0000"/>
            <w:noWrap/>
            <w:vAlign w:val="center"/>
            <w:hideMark/>
          </w:tcPr>
          <w:p w14:paraId="65BFB05B" w14:textId="77777777" w:rsidR="00296890" w:rsidRPr="00E305B4" w:rsidRDefault="00296890" w:rsidP="00296890">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05DD8939" w14:textId="77777777" w:rsidR="00296890" w:rsidRPr="00E305B4" w:rsidRDefault="00F1775E" w:rsidP="00296890">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100</w:t>
            </w:r>
            <w:r w:rsidR="00296890"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1EE61458" w14:textId="77777777" w:rsidR="00296890" w:rsidRPr="00E305B4" w:rsidRDefault="00296890" w:rsidP="00296890">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Presentar y obtener, de parte de los dueños de los riesgos, la aprobación del plan de tratamiento de riesgos de la seguridad de la información, y la aceptación de los riesgos residuales de la seguridad de la información.</w:t>
            </w:r>
          </w:p>
        </w:tc>
        <w:tc>
          <w:tcPr>
            <w:tcW w:w="1763" w:type="dxa"/>
          </w:tcPr>
          <w:p w14:paraId="7BA73621" w14:textId="77777777" w:rsidR="00296890" w:rsidRPr="00E305B4" w:rsidRDefault="00296890" w:rsidP="00296890">
            <w:pPr>
              <w:rPr>
                <w:rFonts w:asciiTheme="majorHAnsi" w:eastAsia="Times New Roman" w:hAnsiTheme="majorHAnsi" w:cstheme="majorHAnsi"/>
                <w:color w:val="000000"/>
                <w:sz w:val="16"/>
                <w:szCs w:val="16"/>
                <w:lang w:val="es-CO" w:eastAsia="es-CO"/>
              </w:rPr>
            </w:pPr>
            <w:r w:rsidRPr="00296890">
              <w:rPr>
                <w:rFonts w:asciiTheme="majorHAnsi" w:eastAsia="Times New Roman" w:hAnsiTheme="majorHAnsi" w:cstheme="majorHAnsi"/>
                <w:color w:val="000000"/>
                <w:sz w:val="20"/>
                <w:szCs w:val="20"/>
                <w:highlight w:val="green"/>
                <w:lang w:val="es-CO" w:eastAsia="es-CO"/>
              </w:rPr>
              <w:t>PENDIENTE</w:t>
            </w:r>
            <w:r w:rsidRPr="00296890">
              <w:rPr>
                <w:rFonts w:asciiTheme="majorHAnsi" w:eastAsia="Times New Roman" w:hAnsiTheme="majorHAnsi" w:cstheme="majorHAnsi"/>
                <w:color w:val="000000"/>
                <w:sz w:val="20"/>
                <w:szCs w:val="20"/>
                <w:lang w:val="es-CO" w:eastAsia="es-CO"/>
              </w:rPr>
              <w:t xml:space="preserve"> </w:t>
            </w:r>
          </w:p>
        </w:tc>
      </w:tr>
      <w:tr w:rsidR="00BC0293" w:rsidRPr="00E305B4" w14:paraId="179F8280" w14:textId="77777777" w:rsidTr="007F5968">
        <w:trPr>
          <w:trHeight w:val="20"/>
        </w:trPr>
        <w:tc>
          <w:tcPr>
            <w:tcW w:w="840" w:type="dxa"/>
            <w:shd w:val="clear" w:color="000000" w:fill="538DD5"/>
            <w:noWrap/>
            <w:vAlign w:val="center"/>
            <w:hideMark/>
          </w:tcPr>
          <w:p w14:paraId="6A28C219"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6.2</w:t>
            </w:r>
          </w:p>
        </w:tc>
        <w:tc>
          <w:tcPr>
            <w:tcW w:w="10057" w:type="dxa"/>
            <w:gridSpan w:val="5"/>
            <w:shd w:val="clear" w:color="000000" w:fill="538DD5"/>
            <w:noWrap/>
            <w:vAlign w:val="center"/>
            <w:hideMark/>
          </w:tcPr>
          <w:p w14:paraId="38AB3850"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Objetivos de seguridad de la información y planes para lograrlo</w:t>
            </w:r>
          </w:p>
        </w:tc>
        <w:tc>
          <w:tcPr>
            <w:tcW w:w="850" w:type="dxa"/>
            <w:shd w:val="clear" w:color="000000" w:fill="538DD5"/>
            <w:noWrap/>
            <w:vAlign w:val="center"/>
            <w:hideMark/>
          </w:tcPr>
          <w:p w14:paraId="1B9C18E0"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46%</w:t>
            </w:r>
          </w:p>
        </w:tc>
        <w:tc>
          <w:tcPr>
            <w:tcW w:w="3782" w:type="dxa"/>
            <w:shd w:val="clear" w:color="000000" w:fill="538DD5"/>
            <w:noWrap/>
            <w:vAlign w:val="center"/>
            <w:hideMark/>
          </w:tcPr>
          <w:p w14:paraId="4E730B9C"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2E914F64"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0743AEC5" w14:textId="77777777" w:rsidTr="007F5968">
        <w:trPr>
          <w:trHeight w:val="20"/>
        </w:trPr>
        <w:tc>
          <w:tcPr>
            <w:tcW w:w="840" w:type="dxa"/>
            <w:shd w:val="clear" w:color="auto" w:fill="auto"/>
            <w:vAlign w:val="center"/>
            <w:hideMark/>
          </w:tcPr>
          <w:p w14:paraId="5D5E33CD"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6.2 (a)</w:t>
            </w:r>
          </w:p>
        </w:tc>
        <w:tc>
          <w:tcPr>
            <w:tcW w:w="1854" w:type="dxa"/>
            <w:vMerge w:val="restart"/>
            <w:shd w:val="clear" w:color="auto" w:fill="auto"/>
            <w:vAlign w:val="center"/>
            <w:hideMark/>
          </w:tcPr>
          <w:p w14:paraId="01F62E5F"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organización debe establecer los objetivos de seguridad de la información en las funciones y niveles pertinentes.</w:t>
            </w:r>
            <w:r w:rsidRPr="00E305B4">
              <w:rPr>
                <w:rFonts w:asciiTheme="majorHAnsi" w:eastAsia="Times New Roman" w:hAnsiTheme="majorHAnsi" w:cstheme="majorHAnsi"/>
                <w:color w:val="000000"/>
                <w:sz w:val="16"/>
                <w:szCs w:val="16"/>
                <w:lang w:val="es-CO" w:eastAsia="es-CO"/>
              </w:rPr>
              <w:br/>
              <w:t xml:space="preserve">Los objetivos de </w:t>
            </w:r>
            <w:r w:rsidRPr="00E305B4">
              <w:rPr>
                <w:rFonts w:asciiTheme="majorHAnsi" w:eastAsia="Times New Roman" w:hAnsiTheme="majorHAnsi" w:cstheme="majorHAnsi"/>
                <w:color w:val="000000"/>
                <w:sz w:val="16"/>
                <w:szCs w:val="16"/>
                <w:lang w:val="es-CO" w:eastAsia="es-CO"/>
              </w:rPr>
              <w:lastRenderedPageBreak/>
              <w:t>seguridad de la información deben:</w:t>
            </w:r>
          </w:p>
        </w:tc>
        <w:tc>
          <w:tcPr>
            <w:tcW w:w="2551" w:type="dxa"/>
            <w:shd w:val="clear" w:color="auto" w:fill="auto"/>
            <w:vAlign w:val="center"/>
            <w:hideMark/>
          </w:tcPr>
          <w:p w14:paraId="5C5D9F64"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lastRenderedPageBreak/>
              <w:t>ser coherentes con la política de seguridad de la información</w:t>
            </w:r>
          </w:p>
        </w:tc>
        <w:tc>
          <w:tcPr>
            <w:tcW w:w="1368" w:type="dxa"/>
            <w:shd w:val="clear" w:color="000000" w:fill="008000"/>
            <w:vAlign w:val="center"/>
            <w:hideMark/>
          </w:tcPr>
          <w:p w14:paraId="0EB8B7F8"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5F765A24" w14:textId="77777777" w:rsidR="007F5968" w:rsidRPr="00E305B4" w:rsidRDefault="006A163B"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Se </w:t>
            </w:r>
            <w:proofErr w:type="gramStart"/>
            <w:r>
              <w:rPr>
                <w:rFonts w:asciiTheme="majorHAnsi" w:eastAsia="Times New Roman" w:hAnsiTheme="majorHAnsi" w:cstheme="majorHAnsi"/>
                <w:color w:val="000000"/>
                <w:sz w:val="16"/>
                <w:szCs w:val="16"/>
                <w:lang w:val="es-CO" w:eastAsia="es-CO"/>
              </w:rPr>
              <w:t xml:space="preserve">cuenta </w:t>
            </w:r>
            <w:r w:rsidRPr="00E305B4">
              <w:rPr>
                <w:rFonts w:asciiTheme="majorHAnsi" w:eastAsia="Times New Roman" w:hAnsiTheme="majorHAnsi" w:cstheme="majorHAnsi"/>
                <w:color w:val="000000"/>
                <w:sz w:val="16"/>
                <w:szCs w:val="16"/>
                <w:lang w:val="es-CO" w:eastAsia="es-CO"/>
              </w:rPr>
              <w:t xml:space="preserve"> la</w:t>
            </w:r>
            <w:proofErr w:type="gramEnd"/>
            <w:r w:rsidRPr="00E305B4">
              <w:rPr>
                <w:rFonts w:asciiTheme="majorHAnsi" w:eastAsia="Times New Roman" w:hAnsiTheme="majorHAnsi" w:cstheme="majorHAnsi"/>
                <w:color w:val="000000"/>
                <w:sz w:val="16"/>
                <w:szCs w:val="16"/>
                <w:lang w:val="es-CO" w:eastAsia="es-CO"/>
              </w:rPr>
              <w:t xml:space="preserve"> Resolución </w:t>
            </w:r>
            <w:r>
              <w:rPr>
                <w:rFonts w:asciiTheme="majorHAnsi" w:eastAsia="Times New Roman" w:hAnsiTheme="majorHAnsi" w:cstheme="majorHAnsi"/>
                <w:color w:val="000000"/>
                <w:sz w:val="16"/>
                <w:szCs w:val="16"/>
                <w:lang w:val="es-CO" w:eastAsia="es-CO"/>
              </w:rPr>
              <w:t>0186 de 2019</w:t>
            </w:r>
            <w:r w:rsidRPr="00E305B4">
              <w:rPr>
                <w:rFonts w:asciiTheme="majorHAnsi" w:eastAsia="Times New Roman" w:hAnsiTheme="majorHAnsi" w:cstheme="majorHAnsi"/>
                <w:color w:val="000000"/>
                <w:sz w:val="16"/>
                <w:szCs w:val="16"/>
                <w:lang w:val="es-CO" w:eastAsia="es-CO"/>
              </w:rPr>
              <w:t xml:space="preserve"> para garantizar que los objetivos de seguridad de la información son coherentes con la política de seguridad de la información.</w:t>
            </w:r>
            <w:r w:rsidR="007F5968" w:rsidRPr="00E305B4">
              <w:rPr>
                <w:rFonts w:asciiTheme="majorHAnsi" w:eastAsia="Times New Roman" w:hAnsiTheme="majorHAnsi" w:cstheme="majorHAnsi"/>
                <w:color w:val="000000"/>
                <w:sz w:val="16"/>
                <w:szCs w:val="16"/>
                <w:lang w:val="es-CO" w:eastAsia="es-CO"/>
              </w:rPr>
              <w:t xml:space="preserve"> la cual incluye: objetivos de la seguridad de la información, alcance, políticas específicas, responsables.</w:t>
            </w:r>
          </w:p>
        </w:tc>
        <w:tc>
          <w:tcPr>
            <w:tcW w:w="1038" w:type="dxa"/>
            <w:shd w:val="clear" w:color="000000" w:fill="00B0F0"/>
            <w:noWrap/>
            <w:vAlign w:val="center"/>
            <w:hideMark/>
          </w:tcPr>
          <w:p w14:paraId="5A6D07FE"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23D89136" w14:textId="77777777" w:rsidR="007F5968" w:rsidRPr="00E305B4" w:rsidRDefault="006A163B"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10</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46479AB6" w14:textId="77777777" w:rsidR="006A163B" w:rsidRDefault="006A163B"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Se debe actualizar.  </w:t>
            </w:r>
          </w:p>
          <w:p w14:paraId="440706A4" w14:textId="77777777" w:rsidR="006A163B" w:rsidRDefault="006A163B" w:rsidP="000F099B">
            <w:pPr>
              <w:rPr>
                <w:rFonts w:asciiTheme="majorHAnsi" w:eastAsia="Times New Roman" w:hAnsiTheme="majorHAnsi" w:cstheme="majorHAnsi"/>
                <w:color w:val="000000"/>
                <w:sz w:val="16"/>
                <w:szCs w:val="16"/>
                <w:lang w:val="es-CO" w:eastAsia="es-CO"/>
              </w:rPr>
            </w:pPr>
          </w:p>
          <w:p w14:paraId="5C96A934" w14:textId="77777777" w:rsidR="007F5968" w:rsidRPr="00E305B4" w:rsidRDefault="006A163B" w:rsidP="000F099B">
            <w:pPr>
              <w:rPr>
                <w:rFonts w:asciiTheme="majorHAnsi" w:eastAsia="Times New Roman" w:hAnsiTheme="majorHAnsi" w:cstheme="majorHAnsi"/>
                <w:color w:val="000000"/>
                <w:sz w:val="16"/>
                <w:szCs w:val="16"/>
                <w:lang w:val="es-CO" w:eastAsia="es-CO"/>
              </w:rPr>
            </w:pPr>
            <w:r w:rsidRPr="006A163B">
              <w:rPr>
                <w:rFonts w:asciiTheme="majorHAnsi" w:eastAsia="Times New Roman" w:hAnsiTheme="majorHAnsi" w:cstheme="majorHAnsi"/>
                <w:color w:val="000000"/>
                <w:sz w:val="16"/>
                <w:szCs w:val="16"/>
                <w:highlight w:val="green"/>
                <w:lang w:val="es-CO" w:eastAsia="es-CO"/>
              </w:rPr>
              <w:t>Se actualizo la Resolución 0186 de 2019</w:t>
            </w:r>
            <w:r w:rsidR="007F5968" w:rsidRPr="00E305B4">
              <w:rPr>
                <w:rFonts w:asciiTheme="majorHAnsi" w:eastAsia="Times New Roman" w:hAnsiTheme="majorHAnsi" w:cstheme="majorHAnsi"/>
                <w:color w:val="000000"/>
                <w:sz w:val="16"/>
                <w:szCs w:val="16"/>
                <w:lang w:val="es-CO" w:eastAsia="es-CO"/>
              </w:rPr>
              <w:t xml:space="preserve"> </w:t>
            </w:r>
          </w:p>
        </w:tc>
        <w:tc>
          <w:tcPr>
            <w:tcW w:w="1763" w:type="dxa"/>
          </w:tcPr>
          <w:p w14:paraId="1AE611C0" w14:textId="77777777" w:rsidR="007F5968" w:rsidRPr="00E305B4" w:rsidRDefault="006A163B" w:rsidP="000F099B">
            <w:pPr>
              <w:rPr>
                <w:rFonts w:asciiTheme="majorHAnsi" w:eastAsia="Times New Roman" w:hAnsiTheme="majorHAnsi" w:cstheme="majorHAnsi"/>
                <w:color w:val="000000"/>
                <w:sz w:val="16"/>
                <w:szCs w:val="16"/>
                <w:lang w:val="es-CO" w:eastAsia="es-CO"/>
              </w:rPr>
            </w:pPr>
            <w:r w:rsidRPr="006A163B">
              <w:rPr>
                <w:rFonts w:asciiTheme="majorHAnsi" w:eastAsia="Times New Roman" w:hAnsiTheme="majorHAnsi" w:cstheme="majorHAnsi"/>
                <w:color w:val="000000"/>
                <w:sz w:val="16"/>
                <w:szCs w:val="16"/>
                <w:highlight w:val="green"/>
                <w:lang w:val="es-CO" w:eastAsia="es-CO"/>
              </w:rPr>
              <w:t>Resolución 0186 de 2019</w:t>
            </w:r>
          </w:p>
        </w:tc>
      </w:tr>
      <w:tr w:rsidR="00274728" w:rsidRPr="00E305B4" w14:paraId="2B792954" w14:textId="77777777" w:rsidTr="007F5968">
        <w:trPr>
          <w:trHeight w:val="20"/>
        </w:trPr>
        <w:tc>
          <w:tcPr>
            <w:tcW w:w="840" w:type="dxa"/>
            <w:shd w:val="clear" w:color="auto" w:fill="auto"/>
            <w:vAlign w:val="center"/>
            <w:hideMark/>
          </w:tcPr>
          <w:p w14:paraId="4A948200"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lastRenderedPageBreak/>
              <w:t>6.2 (b)</w:t>
            </w:r>
          </w:p>
        </w:tc>
        <w:tc>
          <w:tcPr>
            <w:tcW w:w="1854" w:type="dxa"/>
            <w:vMerge/>
            <w:vAlign w:val="center"/>
            <w:hideMark/>
          </w:tcPr>
          <w:p w14:paraId="3E4C09F3"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062681DA"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ser medibles (si es posible)</w:t>
            </w:r>
          </w:p>
        </w:tc>
        <w:tc>
          <w:tcPr>
            <w:tcW w:w="1368" w:type="dxa"/>
            <w:shd w:val="clear" w:color="000000" w:fill="C00000"/>
            <w:vAlign w:val="center"/>
            <w:hideMark/>
          </w:tcPr>
          <w:p w14:paraId="0E50421E"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38053C09"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Los objetivos son generales y no se tienen asociados indicadores específicos para medirlos.</w:t>
            </w:r>
          </w:p>
        </w:tc>
        <w:tc>
          <w:tcPr>
            <w:tcW w:w="1038" w:type="dxa"/>
            <w:shd w:val="clear" w:color="000000" w:fill="FF0000"/>
            <w:noWrap/>
            <w:vAlign w:val="center"/>
            <w:hideMark/>
          </w:tcPr>
          <w:p w14:paraId="3BDCF585"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26C3B766"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3D5F93DB"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6A163B">
              <w:rPr>
                <w:rFonts w:asciiTheme="majorHAnsi" w:eastAsia="Times New Roman" w:hAnsiTheme="majorHAnsi" w:cstheme="majorHAnsi"/>
                <w:color w:val="000000"/>
                <w:sz w:val="16"/>
                <w:szCs w:val="16"/>
                <w:highlight w:val="blue"/>
                <w:lang w:val="es-CO" w:eastAsia="es-CO"/>
              </w:rPr>
              <w:t>Se debe revisar la Resolución 1463 de 2017 para garantizar que los objetivos de seguridad de la información sean medibles</w:t>
            </w:r>
          </w:p>
        </w:tc>
        <w:tc>
          <w:tcPr>
            <w:tcW w:w="1763" w:type="dxa"/>
          </w:tcPr>
          <w:p w14:paraId="16B7FD32" w14:textId="77777777" w:rsidR="007F5968" w:rsidRPr="00E305B4" w:rsidRDefault="006A163B"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revisar</w:t>
            </w:r>
          </w:p>
        </w:tc>
      </w:tr>
      <w:tr w:rsidR="00274728" w:rsidRPr="00E305B4" w14:paraId="6E71DE5F" w14:textId="77777777" w:rsidTr="007F5968">
        <w:trPr>
          <w:trHeight w:val="20"/>
        </w:trPr>
        <w:tc>
          <w:tcPr>
            <w:tcW w:w="840" w:type="dxa"/>
            <w:shd w:val="clear" w:color="auto" w:fill="auto"/>
            <w:vAlign w:val="center"/>
            <w:hideMark/>
          </w:tcPr>
          <w:p w14:paraId="62333DE6"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6.2 (c)</w:t>
            </w:r>
          </w:p>
        </w:tc>
        <w:tc>
          <w:tcPr>
            <w:tcW w:w="1854" w:type="dxa"/>
            <w:vMerge/>
            <w:vAlign w:val="center"/>
            <w:hideMark/>
          </w:tcPr>
          <w:p w14:paraId="62DA9E35"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77F4488B"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tener en cuenta los requisitos de la seguridad de la información aplicables, y los resultados de la evaluación y del tratamiento de los riesgos</w:t>
            </w:r>
          </w:p>
        </w:tc>
        <w:tc>
          <w:tcPr>
            <w:tcW w:w="1368" w:type="dxa"/>
            <w:shd w:val="clear" w:color="000000" w:fill="C00000"/>
            <w:vAlign w:val="center"/>
            <w:hideMark/>
          </w:tcPr>
          <w:p w14:paraId="718FEEE9"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39CD4892" w14:textId="77777777" w:rsidR="007F5968" w:rsidRPr="00E305B4" w:rsidRDefault="006A163B"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En la actualidad ya </w:t>
            </w:r>
            <w:r w:rsidR="00255DF9">
              <w:rPr>
                <w:rFonts w:asciiTheme="majorHAnsi" w:eastAsia="Times New Roman" w:hAnsiTheme="majorHAnsi" w:cstheme="majorHAnsi"/>
                <w:color w:val="000000"/>
                <w:sz w:val="16"/>
                <w:szCs w:val="16"/>
                <w:lang w:val="es-CO" w:eastAsia="es-CO"/>
              </w:rPr>
              <w:t xml:space="preserve">se </w:t>
            </w:r>
            <w:r w:rsidR="00255DF9" w:rsidRPr="00E305B4">
              <w:rPr>
                <w:rFonts w:asciiTheme="majorHAnsi" w:eastAsia="Times New Roman" w:hAnsiTheme="majorHAnsi" w:cstheme="majorHAnsi"/>
                <w:color w:val="000000"/>
                <w:sz w:val="16"/>
                <w:szCs w:val="16"/>
                <w:lang w:val="es-CO" w:eastAsia="es-CO"/>
              </w:rPr>
              <w:t>realizó</w:t>
            </w:r>
            <w:r w:rsidR="007F5968" w:rsidRPr="00E305B4">
              <w:rPr>
                <w:rFonts w:asciiTheme="majorHAnsi" w:eastAsia="Times New Roman" w:hAnsiTheme="majorHAnsi" w:cstheme="majorHAnsi"/>
                <w:color w:val="000000"/>
                <w:sz w:val="16"/>
                <w:szCs w:val="16"/>
                <w:lang w:val="es-CO" w:eastAsia="es-CO"/>
              </w:rPr>
              <w:t xml:space="preserve"> un análisis formal de riesgos en seguridad de la información</w:t>
            </w:r>
          </w:p>
        </w:tc>
        <w:tc>
          <w:tcPr>
            <w:tcW w:w="1038" w:type="dxa"/>
            <w:shd w:val="clear" w:color="000000" w:fill="FF0000"/>
            <w:noWrap/>
            <w:vAlign w:val="center"/>
            <w:hideMark/>
          </w:tcPr>
          <w:p w14:paraId="1365E07C"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4661A78C" w14:textId="77777777" w:rsidR="007F5968" w:rsidRPr="00E305B4" w:rsidRDefault="00255DF9"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40</w:t>
            </w:r>
            <w:r w:rsidR="007F5968"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2B659009" w14:textId="77777777" w:rsidR="007F5968" w:rsidRPr="00E305B4" w:rsidRDefault="00255DF9"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Se implementará el sistema que permitirá realizar, seguimientos, controles a los tratamientos de riesgos</w:t>
            </w:r>
          </w:p>
        </w:tc>
        <w:tc>
          <w:tcPr>
            <w:tcW w:w="1763" w:type="dxa"/>
          </w:tcPr>
          <w:p w14:paraId="72536B81" w14:textId="77777777" w:rsidR="007F5968" w:rsidRPr="00255DF9" w:rsidRDefault="00255DF9" w:rsidP="00187127">
            <w:pPr>
              <w:pStyle w:val="Prrafodelista"/>
              <w:numPr>
                <w:ilvl w:val="0"/>
                <w:numId w:val="30"/>
              </w:numPr>
              <w:tabs>
                <w:tab w:val="left" w:pos="280"/>
              </w:tabs>
              <w:ind w:left="0" w:firstLine="0"/>
              <w:rPr>
                <w:rFonts w:asciiTheme="majorHAnsi" w:eastAsia="Times New Roman" w:hAnsiTheme="majorHAnsi" w:cstheme="majorHAnsi"/>
                <w:color w:val="000000"/>
                <w:sz w:val="16"/>
                <w:szCs w:val="16"/>
                <w:highlight w:val="green"/>
                <w:lang w:val="es-CO" w:eastAsia="es-CO"/>
              </w:rPr>
            </w:pPr>
            <w:r w:rsidRPr="00255DF9">
              <w:rPr>
                <w:rFonts w:asciiTheme="majorHAnsi" w:eastAsia="Times New Roman" w:hAnsiTheme="majorHAnsi" w:cstheme="majorHAnsi"/>
                <w:color w:val="000000"/>
                <w:sz w:val="16"/>
                <w:szCs w:val="16"/>
                <w:highlight w:val="green"/>
                <w:lang w:val="es-CO" w:eastAsia="es-CO"/>
              </w:rPr>
              <w:t>Resolución 0186 de 2019</w:t>
            </w:r>
          </w:p>
          <w:p w14:paraId="05502396" w14:textId="77777777" w:rsidR="00255DF9" w:rsidRPr="00255DF9" w:rsidRDefault="00255DF9" w:rsidP="00187127">
            <w:pPr>
              <w:pStyle w:val="Prrafodelista"/>
              <w:numPr>
                <w:ilvl w:val="0"/>
                <w:numId w:val="30"/>
              </w:numPr>
              <w:tabs>
                <w:tab w:val="left" w:pos="280"/>
              </w:tabs>
              <w:ind w:left="0" w:firstLine="0"/>
              <w:rPr>
                <w:rFonts w:asciiTheme="majorHAnsi" w:eastAsia="Times New Roman" w:hAnsiTheme="majorHAnsi" w:cstheme="majorHAnsi"/>
                <w:color w:val="000000"/>
                <w:sz w:val="16"/>
                <w:szCs w:val="16"/>
                <w:lang w:val="es-CO" w:eastAsia="es-CO"/>
              </w:rPr>
            </w:pPr>
            <w:r w:rsidRPr="00255DF9">
              <w:rPr>
                <w:rFonts w:asciiTheme="majorHAnsi" w:eastAsia="Times New Roman" w:hAnsiTheme="majorHAnsi" w:cstheme="majorHAnsi"/>
                <w:color w:val="000000"/>
                <w:sz w:val="16"/>
                <w:szCs w:val="16"/>
                <w:highlight w:val="green"/>
                <w:lang w:val="es-CO" w:eastAsia="es-CO"/>
              </w:rPr>
              <w:t>Sistema de evaluación de riesgos</w:t>
            </w:r>
            <w:r>
              <w:rPr>
                <w:rFonts w:asciiTheme="majorHAnsi" w:eastAsia="Times New Roman" w:hAnsiTheme="majorHAnsi" w:cstheme="majorHAnsi"/>
                <w:color w:val="000000"/>
                <w:sz w:val="16"/>
                <w:szCs w:val="16"/>
                <w:lang w:val="es-CO" w:eastAsia="es-CO"/>
              </w:rPr>
              <w:t xml:space="preserve"> </w:t>
            </w:r>
          </w:p>
        </w:tc>
      </w:tr>
      <w:tr w:rsidR="00274728" w:rsidRPr="00E305B4" w14:paraId="3B511FD0" w14:textId="77777777" w:rsidTr="007F5968">
        <w:trPr>
          <w:trHeight w:val="20"/>
        </w:trPr>
        <w:tc>
          <w:tcPr>
            <w:tcW w:w="840" w:type="dxa"/>
            <w:shd w:val="clear" w:color="auto" w:fill="auto"/>
            <w:vAlign w:val="center"/>
            <w:hideMark/>
          </w:tcPr>
          <w:p w14:paraId="216CDB26"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6.2 (d)</w:t>
            </w:r>
          </w:p>
        </w:tc>
        <w:tc>
          <w:tcPr>
            <w:tcW w:w="1854" w:type="dxa"/>
            <w:vMerge/>
            <w:vAlign w:val="center"/>
            <w:hideMark/>
          </w:tcPr>
          <w:p w14:paraId="6820055D"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2F7AA258"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ser comunicados; y</w:t>
            </w:r>
          </w:p>
        </w:tc>
        <w:tc>
          <w:tcPr>
            <w:tcW w:w="1368" w:type="dxa"/>
            <w:shd w:val="clear" w:color="000000" w:fill="FFC000"/>
            <w:vAlign w:val="center"/>
            <w:hideMark/>
          </w:tcPr>
          <w:p w14:paraId="0EB2D07B"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PARCIAL</w:t>
            </w:r>
          </w:p>
        </w:tc>
        <w:tc>
          <w:tcPr>
            <w:tcW w:w="3246" w:type="dxa"/>
            <w:shd w:val="clear" w:color="auto" w:fill="auto"/>
            <w:vAlign w:val="center"/>
            <w:hideMark/>
          </w:tcPr>
          <w:p w14:paraId="7CF4AF3C"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Resolución </w:t>
            </w:r>
            <w:r w:rsidR="00255DF9">
              <w:rPr>
                <w:rFonts w:asciiTheme="majorHAnsi" w:eastAsia="Times New Roman" w:hAnsiTheme="majorHAnsi" w:cstheme="majorHAnsi"/>
                <w:color w:val="000000"/>
                <w:sz w:val="16"/>
                <w:szCs w:val="16"/>
                <w:lang w:val="es-CO" w:eastAsia="es-CO"/>
              </w:rPr>
              <w:t>0186</w:t>
            </w:r>
            <w:r w:rsidRPr="00E305B4">
              <w:rPr>
                <w:rFonts w:asciiTheme="majorHAnsi" w:eastAsia="Times New Roman" w:hAnsiTheme="majorHAnsi" w:cstheme="majorHAnsi"/>
                <w:color w:val="000000"/>
                <w:sz w:val="16"/>
                <w:szCs w:val="16"/>
                <w:lang w:val="es-CO" w:eastAsia="es-CO"/>
              </w:rPr>
              <w:t xml:space="preserve"> de 201</w:t>
            </w:r>
            <w:r w:rsidR="00255DF9">
              <w:rPr>
                <w:rFonts w:asciiTheme="majorHAnsi" w:eastAsia="Times New Roman" w:hAnsiTheme="majorHAnsi" w:cstheme="majorHAnsi"/>
                <w:color w:val="000000"/>
                <w:sz w:val="16"/>
                <w:szCs w:val="16"/>
                <w:lang w:val="es-CO" w:eastAsia="es-CO"/>
              </w:rPr>
              <w:t>9</w:t>
            </w:r>
            <w:r w:rsidRPr="00E305B4">
              <w:rPr>
                <w:rFonts w:asciiTheme="majorHAnsi" w:eastAsia="Times New Roman" w:hAnsiTheme="majorHAnsi" w:cstheme="majorHAnsi"/>
                <w:color w:val="000000"/>
                <w:sz w:val="16"/>
                <w:szCs w:val="16"/>
                <w:lang w:val="es-CO" w:eastAsia="es-CO"/>
              </w:rPr>
              <w:t>, se encuentra publicada en la intranet del INS, aunque falta que sea comunicada a partes interesadas externas</w:t>
            </w:r>
          </w:p>
        </w:tc>
        <w:tc>
          <w:tcPr>
            <w:tcW w:w="1038" w:type="dxa"/>
            <w:shd w:val="clear" w:color="000000" w:fill="FFFF00"/>
            <w:noWrap/>
            <w:vAlign w:val="center"/>
            <w:hideMark/>
          </w:tcPr>
          <w:p w14:paraId="51F3859C"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Repetible</w:t>
            </w:r>
          </w:p>
        </w:tc>
        <w:tc>
          <w:tcPr>
            <w:tcW w:w="850" w:type="dxa"/>
            <w:shd w:val="clear" w:color="auto" w:fill="auto"/>
            <w:noWrap/>
            <w:vAlign w:val="center"/>
            <w:hideMark/>
          </w:tcPr>
          <w:p w14:paraId="06599268" w14:textId="77777777" w:rsidR="007F5968" w:rsidRPr="00E305B4" w:rsidRDefault="00255DF9"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6</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3552665D"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Una vez actualizada la Resolución </w:t>
            </w:r>
            <w:r w:rsidR="00255DF9">
              <w:rPr>
                <w:rFonts w:asciiTheme="majorHAnsi" w:eastAsia="Times New Roman" w:hAnsiTheme="majorHAnsi" w:cstheme="majorHAnsi"/>
                <w:color w:val="000000"/>
                <w:sz w:val="16"/>
                <w:szCs w:val="16"/>
                <w:lang w:val="es-CO" w:eastAsia="es-CO"/>
              </w:rPr>
              <w:t>0186</w:t>
            </w:r>
            <w:r w:rsidRPr="00E305B4">
              <w:rPr>
                <w:rFonts w:asciiTheme="majorHAnsi" w:eastAsia="Times New Roman" w:hAnsiTheme="majorHAnsi" w:cstheme="majorHAnsi"/>
                <w:color w:val="000000"/>
                <w:sz w:val="16"/>
                <w:szCs w:val="16"/>
                <w:lang w:val="es-CO" w:eastAsia="es-CO"/>
              </w:rPr>
              <w:t xml:space="preserve"> de 201</w:t>
            </w:r>
            <w:r w:rsidR="00255DF9">
              <w:rPr>
                <w:rFonts w:asciiTheme="majorHAnsi" w:eastAsia="Times New Roman" w:hAnsiTheme="majorHAnsi" w:cstheme="majorHAnsi"/>
                <w:color w:val="000000"/>
                <w:sz w:val="16"/>
                <w:szCs w:val="16"/>
                <w:lang w:val="es-CO" w:eastAsia="es-CO"/>
              </w:rPr>
              <w:t>9</w:t>
            </w:r>
            <w:r w:rsidRPr="00E305B4">
              <w:rPr>
                <w:rFonts w:asciiTheme="majorHAnsi" w:eastAsia="Times New Roman" w:hAnsiTheme="majorHAnsi" w:cstheme="majorHAnsi"/>
                <w:color w:val="000000"/>
                <w:sz w:val="16"/>
                <w:szCs w:val="16"/>
                <w:lang w:val="es-CO" w:eastAsia="es-CO"/>
              </w:rPr>
              <w:t xml:space="preserve"> debe ser publicada y comunicada de manera que todas las partes interesadas puedan conocerla.</w:t>
            </w:r>
          </w:p>
        </w:tc>
        <w:tc>
          <w:tcPr>
            <w:tcW w:w="1763" w:type="dxa"/>
          </w:tcPr>
          <w:p w14:paraId="352DDBAC" w14:textId="77777777" w:rsidR="007F5968" w:rsidRPr="00E305B4" w:rsidRDefault="00255DF9"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Se hace necesario socializarla más </w:t>
            </w:r>
          </w:p>
        </w:tc>
      </w:tr>
      <w:tr w:rsidR="00274728" w:rsidRPr="00E305B4" w14:paraId="685222AC" w14:textId="77777777" w:rsidTr="007F5968">
        <w:trPr>
          <w:trHeight w:val="20"/>
        </w:trPr>
        <w:tc>
          <w:tcPr>
            <w:tcW w:w="840" w:type="dxa"/>
            <w:shd w:val="clear" w:color="auto" w:fill="auto"/>
            <w:vAlign w:val="center"/>
            <w:hideMark/>
          </w:tcPr>
          <w:p w14:paraId="323E4F99"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6.2 (e)</w:t>
            </w:r>
          </w:p>
        </w:tc>
        <w:tc>
          <w:tcPr>
            <w:tcW w:w="1854" w:type="dxa"/>
            <w:vMerge/>
            <w:vAlign w:val="center"/>
            <w:hideMark/>
          </w:tcPr>
          <w:p w14:paraId="1B805CAD"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26702640"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ser actualizados, según sea apropiado.</w:t>
            </w:r>
          </w:p>
        </w:tc>
        <w:tc>
          <w:tcPr>
            <w:tcW w:w="1368" w:type="dxa"/>
            <w:shd w:val="clear" w:color="000000" w:fill="008000"/>
            <w:vAlign w:val="center"/>
            <w:hideMark/>
          </w:tcPr>
          <w:p w14:paraId="37783114"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18FF9F37" w14:textId="77777777" w:rsidR="003E423E" w:rsidRDefault="003E423E"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Se realizo la actualización de</w:t>
            </w:r>
            <w:r w:rsidR="007F5968" w:rsidRPr="00E305B4">
              <w:rPr>
                <w:rFonts w:asciiTheme="majorHAnsi" w:eastAsia="Times New Roman" w:hAnsiTheme="majorHAnsi" w:cstheme="majorHAnsi"/>
                <w:color w:val="000000"/>
                <w:sz w:val="16"/>
                <w:szCs w:val="16"/>
                <w:lang w:val="es-CO" w:eastAsia="es-CO"/>
              </w:rPr>
              <w:t xml:space="preserve"> los objetivos de seguridad de la </w:t>
            </w:r>
            <w:r w:rsidRPr="00E305B4">
              <w:rPr>
                <w:rFonts w:asciiTheme="majorHAnsi" w:eastAsia="Times New Roman" w:hAnsiTheme="majorHAnsi" w:cstheme="majorHAnsi"/>
                <w:color w:val="000000"/>
                <w:sz w:val="16"/>
                <w:szCs w:val="16"/>
                <w:lang w:val="es-CO" w:eastAsia="es-CO"/>
              </w:rPr>
              <w:t>información a</w:t>
            </w:r>
            <w:r w:rsidR="007F5968" w:rsidRPr="00E305B4">
              <w:rPr>
                <w:rFonts w:asciiTheme="majorHAnsi" w:eastAsia="Times New Roman" w:hAnsiTheme="majorHAnsi" w:cstheme="majorHAnsi"/>
                <w:color w:val="000000"/>
                <w:sz w:val="16"/>
                <w:szCs w:val="16"/>
                <w:lang w:val="es-CO" w:eastAsia="es-CO"/>
              </w:rPr>
              <w:t xml:space="preserve"> través de la Resolución </w:t>
            </w:r>
            <w:r>
              <w:rPr>
                <w:rFonts w:asciiTheme="majorHAnsi" w:eastAsia="Times New Roman" w:hAnsiTheme="majorHAnsi" w:cstheme="majorHAnsi"/>
                <w:color w:val="000000"/>
                <w:sz w:val="16"/>
                <w:szCs w:val="16"/>
                <w:lang w:val="es-CO" w:eastAsia="es-CO"/>
              </w:rPr>
              <w:t>0186</w:t>
            </w:r>
            <w:r w:rsidR="007F5968" w:rsidRPr="00E305B4">
              <w:rPr>
                <w:rFonts w:asciiTheme="majorHAnsi" w:eastAsia="Times New Roman" w:hAnsiTheme="majorHAnsi" w:cstheme="majorHAnsi"/>
                <w:color w:val="000000"/>
                <w:sz w:val="16"/>
                <w:szCs w:val="16"/>
                <w:lang w:val="es-CO" w:eastAsia="es-CO"/>
              </w:rPr>
              <w:t xml:space="preserve"> de </w:t>
            </w:r>
            <w:r>
              <w:rPr>
                <w:rFonts w:asciiTheme="majorHAnsi" w:eastAsia="Times New Roman" w:hAnsiTheme="majorHAnsi" w:cstheme="majorHAnsi"/>
                <w:color w:val="000000"/>
                <w:sz w:val="16"/>
                <w:szCs w:val="16"/>
                <w:lang w:val="es-CO" w:eastAsia="es-CO"/>
              </w:rPr>
              <w:t>27 febrero</w:t>
            </w:r>
          </w:p>
          <w:p w14:paraId="218BB761"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 201</w:t>
            </w:r>
            <w:r w:rsidR="003E423E">
              <w:rPr>
                <w:rFonts w:asciiTheme="majorHAnsi" w:eastAsia="Times New Roman" w:hAnsiTheme="majorHAnsi" w:cstheme="majorHAnsi"/>
                <w:color w:val="000000"/>
                <w:sz w:val="16"/>
                <w:szCs w:val="16"/>
                <w:lang w:val="es-CO" w:eastAsia="es-CO"/>
              </w:rPr>
              <w:t>9</w:t>
            </w:r>
          </w:p>
        </w:tc>
        <w:tc>
          <w:tcPr>
            <w:tcW w:w="1038" w:type="dxa"/>
            <w:shd w:val="clear" w:color="000000" w:fill="00B0F0"/>
            <w:noWrap/>
            <w:vAlign w:val="center"/>
            <w:hideMark/>
          </w:tcPr>
          <w:p w14:paraId="0806D923"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09C4BF7A" w14:textId="77777777" w:rsidR="007F5968" w:rsidRPr="00E305B4" w:rsidRDefault="003E423E"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10</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5BF261CB" w14:textId="77777777" w:rsidR="007F5968" w:rsidRPr="00E305B4" w:rsidRDefault="003E423E"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Se actualizo </w:t>
            </w:r>
            <w:r w:rsidRPr="00E305B4">
              <w:rPr>
                <w:rFonts w:asciiTheme="majorHAnsi" w:eastAsia="Times New Roman" w:hAnsiTheme="majorHAnsi" w:cstheme="majorHAnsi"/>
                <w:color w:val="000000"/>
                <w:sz w:val="16"/>
                <w:szCs w:val="16"/>
                <w:lang w:val="es-CO" w:eastAsia="es-CO"/>
              </w:rPr>
              <w:t>la</w:t>
            </w:r>
            <w:r w:rsidR="007F5968" w:rsidRPr="00E305B4">
              <w:rPr>
                <w:rFonts w:asciiTheme="majorHAnsi" w:eastAsia="Times New Roman" w:hAnsiTheme="majorHAnsi" w:cstheme="majorHAnsi"/>
                <w:color w:val="000000"/>
                <w:sz w:val="16"/>
                <w:szCs w:val="16"/>
                <w:lang w:val="es-CO" w:eastAsia="es-CO"/>
              </w:rPr>
              <w:t xml:space="preserve"> Resolución 1463 de 2017 para garantizar que los objetivos de seguridad de la información </w:t>
            </w:r>
            <w:r>
              <w:rPr>
                <w:rFonts w:asciiTheme="majorHAnsi" w:eastAsia="Times New Roman" w:hAnsiTheme="majorHAnsi" w:cstheme="majorHAnsi"/>
                <w:color w:val="000000"/>
                <w:sz w:val="16"/>
                <w:szCs w:val="16"/>
                <w:lang w:val="es-CO" w:eastAsia="es-CO"/>
              </w:rPr>
              <w:t xml:space="preserve">y se </w:t>
            </w:r>
            <w:r w:rsidRPr="00E305B4">
              <w:rPr>
                <w:rFonts w:asciiTheme="majorHAnsi" w:eastAsia="Times New Roman" w:hAnsiTheme="majorHAnsi" w:cstheme="majorHAnsi"/>
                <w:color w:val="000000"/>
                <w:sz w:val="16"/>
                <w:szCs w:val="16"/>
                <w:lang w:val="es-CO" w:eastAsia="es-CO"/>
              </w:rPr>
              <w:t>actuaci</w:t>
            </w:r>
            <w:r>
              <w:rPr>
                <w:rFonts w:asciiTheme="majorHAnsi" w:eastAsia="Times New Roman" w:hAnsiTheme="majorHAnsi" w:cstheme="majorHAnsi"/>
                <w:color w:val="000000"/>
                <w:sz w:val="16"/>
                <w:szCs w:val="16"/>
                <w:lang w:val="es-CO" w:eastAsia="es-CO"/>
              </w:rPr>
              <w:t xml:space="preserve">ón los objetivos </w:t>
            </w:r>
          </w:p>
        </w:tc>
        <w:tc>
          <w:tcPr>
            <w:tcW w:w="1763" w:type="dxa"/>
          </w:tcPr>
          <w:p w14:paraId="7C9E849B" w14:textId="77777777" w:rsidR="007F5968" w:rsidRPr="00E305B4" w:rsidRDefault="003E423E" w:rsidP="000F099B">
            <w:pPr>
              <w:rPr>
                <w:rFonts w:asciiTheme="majorHAnsi" w:eastAsia="Times New Roman" w:hAnsiTheme="majorHAnsi" w:cstheme="majorHAnsi"/>
                <w:color w:val="000000"/>
                <w:sz w:val="16"/>
                <w:szCs w:val="16"/>
                <w:lang w:val="es-CO" w:eastAsia="es-CO"/>
              </w:rPr>
            </w:pPr>
            <w:r w:rsidRPr="003E423E">
              <w:rPr>
                <w:rFonts w:asciiTheme="majorHAnsi" w:eastAsia="Times New Roman" w:hAnsiTheme="majorHAnsi" w:cstheme="majorHAnsi"/>
                <w:color w:val="000000"/>
                <w:sz w:val="16"/>
                <w:szCs w:val="16"/>
                <w:highlight w:val="blue"/>
                <w:lang w:val="es-CO" w:eastAsia="es-CO"/>
              </w:rPr>
              <w:t>Verificar la revisión de los objetivos</w:t>
            </w:r>
            <w:r>
              <w:rPr>
                <w:rFonts w:asciiTheme="majorHAnsi" w:eastAsia="Times New Roman" w:hAnsiTheme="majorHAnsi" w:cstheme="majorHAnsi"/>
                <w:color w:val="000000"/>
                <w:sz w:val="16"/>
                <w:szCs w:val="16"/>
                <w:lang w:val="es-CO" w:eastAsia="es-CO"/>
              </w:rPr>
              <w:t xml:space="preserve"> </w:t>
            </w:r>
          </w:p>
        </w:tc>
      </w:tr>
      <w:tr w:rsidR="00274728" w:rsidRPr="00E305B4" w14:paraId="475AD1D7" w14:textId="77777777" w:rsidTr="007F5968">
        <w:trPr>
          <w:trHeight w:val="20"/>
        </w:trPr>
        <w:tc>
          <w:tcPr>
            <w:tcW w:w="840" w:type="dxa"/>
            <w:shd w:val="clear" w:color="auto" w:fill="auto"/>
            <w:vAlign w:val="center"/>
            <w:hideMark/>
          </w:tcPr>
          <w:p w14:paraId="3208FDC5"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6.2 (f)</w:t>
            </w:r>
          </w:p>
        </w:tc>
        <w:tc>
          <w:tcPr>
            <w:tcW w:w="1854" w:type="dxa"/>
            <w:vMerge w:val="restart"/>
            <w:shd w:val="clear" w:color="auto" w:fill="auto"/>
            <w:vAlign w:val="center"/>
            <w:hideMark/>
          </w:tcPr>
          <w:p w14:paraId="1DFC4DE1"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Cuando se hace la planificación para lograr sus objetivos de la seguridad de la información, la organización debe determinar:</w:t>
            </w:r>
          </w:p>
        </w:tc>
        <w:tc>
          <w:tcPr>
            <w:tcW w:w="2551" w:type="dxa"/>
            <w:shd w:val="clear" w:color="auto" w:fill="auto"/>
            <w:vAlign w:val="center"/>
            <w:hideMark/>
          </w:tcPr>
          <w:p w14:paraId="73446602"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lo que se va a hacer</w:t>
            </w:r>
          </w:p>
        </w:tc>
        <w:tc>
          <w:tcPr>
            <w:tcW w:w="1368" w:type="dxa"/>
            <w:shd w:val="clear" w:color="000000" w:fill="008000"/>
            <w:vAlign w:val="center"/>
            <w:hideMark/>
          </w:tcPr>
          <w:p w14:paraId="220A608D"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0326C496" w14:textId="77777777" w:rsidR="00967526" w:rsidRDefault="00967526" w:rsidP="00967526">
            <w:pPr>
              <w:rPr>
                <w:rFonts w:asciiTheme="majorHAnsi" w:eastAsia="Times New Roman" w:hAnsiTheme="majorHAnsi" w:cstheme="majorHAnsi"/>
                <w:color w:val="000000"/>
                <w:sz w:val="16"/>
                <w:szCs w:val="16"/>
                <w:lang w:val="es-CO" w:eastAsia="es-CO"/>
              </w:rPr>
            </w:pPr>
            <w:r w:rsidRPr="00967526">
              <w:rPr>
                <w:rFonts w:asciiTheme="majorHAnsi" w:eastAsia="Times New Roman" w:hAnsiTheme="majorHAnsi" w:cstheme="majorHAnsi"/>
                <w:color w:val="000000"/>
                <w:sz w:val="16"/>
                <w:szCs w:val="16"/>
                <w:highlight w:val="green"/>
                <w:lang w:val="es-CO" w:eastAsia="es-CO"/>
              </w:rPr>
              <w:t>La alta Dirección con su apoyo y compromiso de la implementación  del sistema de seguridad  ha realizado la contratación dos años consecutivos por medio de una  consultoría la cual realizo un diagnóstico del estado del modelo de seguridad y privacidad de la información (MSPI) del INS, la revisión y actualización de la documentación y el levantamiento de los riesgos en todos los procesos de la entidad para garantizar la confidencialidad, integridad y disponibilidad de la información gestionada, adicionalmente se realizó una socialización de los riesgos, se entregó herramientas para su aplicación, seguimiento, control, se trabajó los procedimientos y las políticas específicas para Instituto Nacional de Salud</w:t>
            </w:r>
            <w:r w:rsidRPr="00992986">
              <w:rPr>
                <w:rFonts w:asciiTheme="majorHAnsi" w:eastAsia="Times New Roman" w:hAnsiTheme="majorHAnsi" w:cstheme="majorHAnsi"/>
                <w:color w:val="000000"/>
                <w:sz w:val="16"/>
                <w:szCs w:val="16"/>
                <w:highlight w:val="magenta"/>
                <w:lang w:val="es-CO" w:eastAsia="es-CO"/>
              </w:rPr>
              <w:t>.</w:t>
            </w:r>
          </w:p>
          <w:p w14:paraId="01506D49" w14:textId="77777777" w:rsidR="00967526" w:rsidRDefault="00967526" w:rsidP="000F099B">
            <w:pPr>
              <w:rPr>
                <w:rFonts w:asciiTheme="majorHAnsi" w:eastAsia="Times New Roman" w:hAnsiTheme="majorHAnsi" w:cstheme="majorHAnsi"/>
                <w:color w:val="000000"/>
                <w:sz w:val="16"/>
                <w:szCs w:val="16"/>
                <w:lang w:val="es-CO" w:eastAsia="es-CO"/>
              </w:rPr>
            </w:pPr>
          </w:p>
          <w:p w14:paraId="057D453E"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El INS cuenta con un PLAN DE SEGURIDAD Y PRIVACIDAD DE LA INFORMACIÓN, en el que se contempla mediante la contratación de una consultoría que realice el diagnóstico del estado del modelo de seguridad y privacidad de la información (MSPI) del INS, la revisión y actualización de la documentación y el levantamiento de los riesgos en todos los </w:t>
            </w:r>
            <w:r w:rsidRPr="00E305B4">
              <w:rPr>
                <w:rFonts w:asciiTheme="majorHAnsi" w:eastAsia="Times New Roman" w:hAnsiTheme="majorHAnsi" w:cstheme="majorHAnsi"/>
                <w:color w:val="000000"/>
                <w:sz w:val="16"/>
                <w:szCs w:val="16"/>
                <w:lang w:val="es-CO" w:eastAsia="es-CO"/>
              </w:rPr>
              <w:lastRenderedPageBreak/>
              <w:t>procesos de la entidad para garantizar la confidencialidad, integridad y disponibilidad de la información gestionada en el Instituto Nacional de Salud.</w:t>
            </w:r>
          </w:p>
        </w:tc>
        <w:tc>
          <w:tcPr>
            <w:tcW w:w="1038" w:type="dxa"/>
            <w:shd w:val="clear" w:color="000000" w:fill="00B0F0"/>
            <w:noWrap/>
            <w:vAlign w:val="center"/>
            <w:hideMark/>
          </w:tcPr>
          <w:p w14:paraId="31D61D15"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lastRenderedPageBreak/>
              <w:t>Definido</w:t>
            </w:r>
          </w:p>
        </w:tc>
        <w:tc>
          <w:tcPr>
            <w:tcW w:w="850" w:type="dxa"/>
            <w:shd w:val="clear" w:color="auto" w:fill="auto"/>
            <w:noWrap/>
            <w:vAlign w:val="center"/>
            <w:hideMark/>
          </w:tcPr>
          <w:p w14:paraId="7E2672DE"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60%</w:t>
            </w:r>
          </w:p>
        </w:tc>
        <w:tc>
          <w:tcPr>
            <w:tcW w:w="3782" w:type="dxa"/>
            <w:shd w:val="clear" w:color="auto" w:fill="auto"/>
            <w:vAlign w:val="center"/>
            <w:hideMark/>
          </w:tcPr>
          <w:p w14:paraId="2411A291"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Se debe revisar el manual del sistema integrado de gestión para que se incluya como se </w:t>
            </w:r>
            <w:proofErr w:type="gramStart"/>
            <w:r w:rsidRPr="00E305B4">
              <w:rPr>
                <w:rFonts w:asciiTheme="majorHAnsi" w:eastAsia="Times New Roman" w:hAnsiTheme="majorHAnsi" w:cstheme="majorHAnsi"/>
                <w:color w:val="000000"/>
                <w:sz w:val="16"/>
                <w:szCs w:val="16"/>
                <w:lang w:val="es-CO" w:eastAsia="es-CO"/>
              </w:rPr>
              <w:t>va</w:t>
            </w:r>
            <w:proofErr w:type="gramEnd"/>
            <w:r w:rsidRPr="00E305B4">
              <w:rPr>
                <w:rFonts w:asciiTheme="majorHAnsi" w:eastAsia="Times New Roman" w:hAnsiTheme="majorHAnsi" w:cstheme="majorHAnsi"/>
                <w:color w:val="000000"/>
                <w:sz w:val="16"/>
                <w:szCs w:val="16"/>
                <w:lang w:val="es-CO" w:eastAsia="es-CO"/>
              </w:rPr>
              <w:t xml:space="preserve"> hacer para lograr los objetivos de la seguridad de la información, así como los recursos necesarios, responsables, y el método para evaluar los resultados.</w:t>
            </w:r>
          </w:p>
        </w:tc>
        <w:tc>
          <w:tcPr>
            <w:tcW w:w="1763" w:type="dxa"/>
          </w:tcPr>
          <w:p w14:paraId="53964827" w14:textId="77777777" w:rsidR="007F5968" w:rsidRPr="00967526" w:rsidRDefault="00967526" w:rsidP="000F099B">
            <w:pPr>
              <w:rPr>
                <w:rFonts w:asciiTheme="majorHAnsi" w:eastAsia="Times New Roman" w:hAnsiTheme="majorHAnsi" w:cstheme="majorHAnsi"/>
                <w:color w:val="000000"/>
                <w:sz w:val="16"/>
                <w:szCs w:val="16"/>
                <w:highlight w:val="green"/>
                <w:lang w:val="es-CO" w:eastAsia="es-CO"/>
              </w:rPr>
            </w:pPr>
            <w:r w:rsidRPr="00967526">
              <w:rPr>
                <w:rFonts w:asciiTheme="majorHAnsi" w:eastAsia="Times New Roman" w:hAnsiTheme="majorHAnsi" w:cstheme="majorHAnsi"/>
                <w:color w:val="000000"/>
                <w:sz w:val="16"/>
                <w:szCs w:val="16"/>
                <w:highlight w:val="green"/>
                <w:lang w:val="es-CO" w:eastAsia="es-CO"/>
              </w:rPr>
              <w:t>Manual de calidad</w:t>
            </w:r>
          </w:p>
        </w:tc>
      </w:tr>
      <w:tr w:rsidR="00274728" w:rsidRPr="00E305B4" w14:paraId="015BC243" w14:textId="77777777" w:rsidTr="007F5968">
        <w:trPr>
          <w:trHeight w:val="20"/>
        </w:trPr>
        <w:tc>
          <w:tcPr>
            <w:tcW w:w="840" w:type="dxa"/>
            <w:shd w:val="clear" w:color="auto" w:fill="auto"/>
            <w:vAlign w:val="center"/>
            <w:hideMark/>
          </w:tcPr>
          <w:p w14:paraId="0230FE80"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6.2 (g)</w:t>
            </w:r>
          </w:p>
        </w:tc>
        <w:tc>
          <w:tcPr>
            <w:tcW w:w="1854" w:type="dxa"/>
            <w:vMerge/>
            <w:vAlign w:val="center"/>
            <w:hideMark/>
          </w:tcPr>
          <w:p w14:paraId="2CA01C5D"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156CE78B"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que recursos se requerirán</w:t>
            </w:r>
          </w:p>
        </w:tc>
        <w:tc>
          <w:tcPr>
            <w:tcW w:w="1368" w:type="dxa"/>
            <w:shd w:val="clear" w:color="000000" w:fill="008000"/>
            <w:vAlign w:val="center"/>
            <w:hideMark/>
          </w:tcPr>
          <w:p w14:paraId="0DFB7C1E"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03D53C5B" w14:textId="77777777" w:rsidR="00967526" w:rsidRDefault="00967526" w:rsidP="00967526">
            <w:pPr>
              <w:rPr>
                <w:rFonts w:asciiTheme="majorHAnsi" w:eastAsia="Times New Roman" w:hAnsiTheme="majorHAnsi" w:cstheme="majorHAnsi"/>
                <w:color w:val="000000"/>
                <w:sz w:val="16"/>
                <w:szCs w:val="16"/>
                <w:lang w:val="es-CO" w:eastAsia="es-CO"/>
              </w:rPr>
            </w:pPr>
            <w:r w:rsidRPr="00992986">
              <w:rPr>
                <w:rFonts w:asciiTheme="majorHAnsi" w:eastAsia="Times New Roman" w:hAnsiTheme="majorHAnsi" w:cstheme="majorHAnsi"/>
                <w:color w:val="000000"/>
                <w:sz w:val="16"/>
                <w:szCs w:val="16"/>
                <w:highlight w:val="magenta"/>
                <w:lang w:val="es-CO" w:eastAsia="es-CO"/>
              </w:rPr>
              <w:t>La alta Dirección con su apoyo y compromiso de la implementación  del sistema de seguridad  ha realizado la contratación dos años consecutivos por medio de una  consultoría la cual realizo un diagnóstico del estado del modelo de seguridad y privacidad de la información (MSPI) del INS, la revisión y actualización de la documentación y el levantamiento de los riesgos en todos los procesos de la entidad para garantizar la confidencialidad, integridad y disponibilidad de la información gestionada, adicionalmente se realizó una socialización de los riesgos, se entregó herramientas para su aplicación, seguimiento, control, se trabajó los procedimientos y las políticas específicas para Instituto Nacional de Salud.</w:t>
            </w:r>
          </w:p>
          <w:p w14:paraId="26791E0A" w14:textId="77777777" w:rsidR="00967526" w:rsidRDefault="00967526" w:rsidP="000F099B">
            <w:pPr>
              <w:rPr>
                <w:rFonts w:asciiTheme="majorHAnsi" w:eastAsia="Times New Roman" w:hAnsiTheme="majorHAnsi" w:cstheme="majorHAnsi"/>
                <w:color w:val="000000"/>
                <w:sz w:val="16"/>
                <w:szCs w:val="16"/>
                <w:lang w:val="es-CO" w:eastAsia="es-CO"/>
              </w:rPr>
            </w:pPr>
          </w:p>
          <w:p w14:paraId="0F823B34" w14:textId="77777777" w:rsidR="00967526" w:rsidRDefault="00967526" w:rsidP="000F099B">
            <w:pPr>
              <w:rPr>
                <w:rFonts w:asciiTheme="majorHAnsi" w:eastAsia="Times New Roman" w:hAnsiTheme="majorHAnsi" w:cstheme="majorHAnsi"/>
                <w:color w:val="000000"/>
                <w:sz w:val="16"/>
                <w:szCs w:val="16"/>
                <w:lang w:val="es-CO" w:eastAsia="es-CO"/>
              </w:rPr>
            </w:pPr>
          </w:p>
          <w:p w14:paraId="1225FE01"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El INS cuenta con un PLAN DE SEGURIDAD Y PRIVACIDAD DE LA INFORMACIÓN, en el que se contempla mediante la contratación de una consultoría que realice el diagnóstico del estado del modelo de seguridad y privacidad de la información (MSPI) del INS, la revisión y actualización de la documentación y el levantamiento de los riesgos en todos los procesos de la entidad para garantizar la confidencialidad, integridad y disponibilidad de la información gestionada en el Instituto Nacional de Salud.</w:t>
            </w:r>
          </w:p>
        </w:tc>
        <w:tc>
          <w:tcPr>
            <w:tcW w:w="1038" w:type="dxa"/>
            <w:shd w:val="clear" w:color="000000" w:fill="00B0F0"/>
            <w:noWrap/>
            <w:vAlign w:val="center"/>
            <w:hideMark/>
          </w:tcPr>
          <w:p w14:paraId="568E241C"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260C2568"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60%</w:t>
            </w:r>
          </w:p>
        </w:tc>
        <w:tc>
          <w:tcPr>
            <w:tcW w:w="3782" w:type="dxa"/>
            <w:shd w:val="clear" w:color="auto" w:fill="auto"/>
            <w:vAlign w:val="center"/>
            <w:hideMark/>
          </w:tcPr>
          <w:p w14:paraId="3B03DB73"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Se debe revisar el manual del sistema integrado de gestión para que se incluya como se </w:t>
            </w:r>
            <w:proofErr w:type="gramStart"/>
            <w:r w:rsidRPr="00E305B4">
              <w:rPr>
                <w:rFonts w:asciiTheme="majorHAnsi" w:eastAsia="Times New Roman" w:hAnsiTheme="majorHAnsi" w:cstheme="majorHAnsi"/>
                <w:color w:val="000000"/>
                <w:sz w:val="16"/>
                <w:szCs w:val="16"/>
                <w:lang w:val="es-CO" w:eastAsia="es-CO"/>
              </w:rPr>
              <w:t>va</w:t>
            </w:r>
            <w:proofErr w:type="gramEnd"/>
            <w:r w:rsidRPr="00E305B4">
              <w:rPr>
                <w:rFonts w:asciiTheme="majorHAnsi" w:eastAsia="Times New Roman" w:hAnsiTheme="majorHAnsi" w:cstheme="majorHAnsi"/>
                <w:color w:val="000000"/>
                <w:sz w:val="16"/>
                <w:szCs w:val="16"/>
                <w:lang w:val="es-CO" w:eastAsia="es-CO"/>
              </w:rPr>
              <w:t xml:space="preserve"> hacer para lograr los objetivos de la seguridad de la información, así como los recursos necesarios, responsables, y el método para evaluar los resultados.</w:t>
            </w:r>
          </w:p>
        </w:tc>
        <w:tc>
          <w:tcPr>
            <w:tcW w:w="1763" w:type="dxa"/>
          </w:tcPr>
          <w:p w14:paraId="1E06AE5C" w14:textId="77777777" w:rsidR="007F5968" w:rsidRPr="00E305B4" w:rsidRDefault="00373A62" w:rsidP="000F099B">
            <w:pPr>
              <w:rPr>
                <w:rFonts w:asciiTheme="majorHAnsi" w:eastAsia="Times New Roman" w:hAnsiTheme="majorHAnsi" w:cstheme="majorHAnsi"/>
                <w:color w:val="000000"/>
                <w:sz w:val="16"/>
                <w:szCs w:val="16"/>
                <w:lang w:val="es-CO" w:eastAsia="es-CO"/>
              </w:rPr>
            </w:pPr>
            <w:r w:rsidRPr="00967526">
              <w:rPr>
                <w:rFonts w:asciiTheme="majorHAnsi" w:eastAsia="Times New Roman" w:hAnsiTheme="majorHAnsi" w:cstheme="majorHAnsi"/>
                <w:color w:val="000000"/>
                <w:sz w:val="16"/>
                <w:szCs w:val="16"/>
                <w:highlight w:val="green"/>
                <w:lang w:val="es-CO" w:eastAsia="es-CO"/>
              </w:rPr>
              <w:t>Manual de calidad</w:t>
            </w:r>
          </w:p>
        </w:tc>
      </w:tr>
      <w:tr w:rsidR="00274728" w:rsidRPr="00E305B4" w14:paraId="0D5E36C0" w14:textId="77777777" w:rsidTr="007F5968">
        <w:trPr>
          <w:trHeight w:val="20"/>
        </w:trPr>
        <w:tc>
          <w:tcPr>
            <w:tcW w:w="840" w:type="dxa"/>
            <w:shd w:val="clear" w:color="auto" w:fill="auto"/>
            <w:vAlign w:val="center"/>
            <w:hideMark/>
          </w:tcPr>
          <w:p w14:paraId="383838B7"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6.2 (h)</w:t>
            </w:r>
          </w:p>
        </w:tc>
        <w:tc>
          <w:tcPr>
            <w:tcW w:w="1854" w:type="dxa"/>
            <w:vMerge/>
            <w:vAlign w:val="center"/>
            <w:hideMark/>
          </w:tcPr>
          <w:p w14:paraId="5FE49D0C"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6069AF1F"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quién será responsable</w:t>
            </w:r>
          </w:p>
        </w:tc>
        <w:tc>
          <w:tcPr>
            <w:tcW w:w="1368" w:type="dxa"/>
            <w:shd w:val="clear" w:color="000000" w:fill="008000"/>
            <w:vAlign w:val="center"/>
            <w:hideMark/>
          </w:tcPr>
          <w:p w14:paraId="51702954"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56EE5906" w14:textId="77777777" w:rsidR="00373A62" w:rsidRDefault="00373A62" w:rsidP="00373A62">
            <w:pPr>
              <w:rPr>
                <w:rFonts w:asciiTheme="majorHAnsi" w:eastAsia="Times New Roman" w:hAnsiTheme="majorHAnsi" w:cstheme="majorHAnsi"/>
                <w:color w:val="000000"/>
                <w:sz w:val="16"/>
                <w:szCs w:val="16"/>
                <w:lang w:val="es-CO" w:eastAsia="es-CO"/>
              </w:rPr>
            </w:pPr>
            <w:r w:rsidRPr="00992986">
              <w:rPr>
                <w:rFonts w:asciiTheme="majorHAnsi" w:eastAsia="Times New Roman" w:hAnsiTheme="majorHAnsi" w:cstheme="majorHAnsi"/>
                <w:color w:val="000000"/>
                <w:sz w:val="16"/>
                <w:szCs w:val="16"/>
                <w:highlight w:val="magenta"/>
                <w:lang w:val="es-CO" w:eastAsia="es-CO"/>
              </w:rPr>
              <w:t xml:space="preserve">La alta Dirección con su apoyo y compromiso de la implementación  del sistema de seguridad  ha realizado la contratación dos años consecutivos por medio de una  consultoría la cual realizo un diagnóstico del estado del modelo de seguridad y privacidad de la información (MSPI) del INS, la revisión </w:t>
            </w:r>
            <w:r w:rsidRPr="00992986">
              <w:rPr>
                <w:rFonts w:asciiTheme="majorHAnsi" w:eastAsia="Times New Roman" w:hAnsiTheme="majorHAnsi" w:cstheme="majorHAnsi"/>
                <w:color w:val="000000"/>
                <w:sz w:val="16"/>
                <w:szCs w:val="16"/>
                <w:highlight w:val="magenta"/>
                <w:lang w:val="es-CO" w:eastAsia="es-CO"/>
              </w:rPr>
              <w:lastRenderedPageBreak/>
              <w:t>y actualización de la documentación y el levantamiento de los riesgos en todos los procesos de la entidad para garantizar la confidencialidad, integridad y disponibilidad de la información gestionada, adicionalmente se realizó una socialización de los riesgos, se entregó herramientas para su aplicación, seguimiento, control, se trabajó los procedimientos y las políticas específicas para Instituto Nacional de Salud.</w:t>
            </w:r>
          </w:p>
          <w:p w14:paraId="10DA2F66" w14:textId="77777777" w:rsidR="00373A62" w:rsidRDefault="00373A62" w:rsidP="00373A62">
            <w:pPr>
              <w:rPr>
                <w:rFonts w:asciiTheme="majorHAnsi" w:eastAsia="Times New Roman" w:hAnsiTheme="majorHAnsi" w:cstheme="majorHAnsi"/>
                <w:color w:val="000000"/>
                <w:sz w:val="16"/>
                <w:szCs w:val="16"/>
                <w:lang w:val="es-CO" w:eastAsia="es-CO"/>
              </w:rPr>
            </w:pPr>
          </w:p>
          <w:p w14:paraId="1D5904F8" w14:textId="77777777" w:rsidR="00373A62" w:rsidRDefault="00373A62" w:rsidP="000F099B">
            <w:pPr>
              <w:rPr>
                <w:rFonts w:asciiTheme="majorHAnsi" w:eastAsia="Times New Roman" w:hAnsiTheme="majorHAnsi" w:cstheme="majorHAnsi"/>
                <w:color w:val="000000"/>
                <w:sz w:val="16"/>
                <w:szCs w:val="16"/>
                <w:lang w:val="es-CO" w:eastAsia="es-CO"/>
              </w:rPr>
            </w:pPr>
          </w:p>
          <w:p w14:paraId="7B20584F"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El INS cuenta con un PLAN DE SEGURIDAD Y PRIVACIDAD DE LA INFORMACIÓN, en el que se contempla mediante la contratación de una consultoría que realice el diagnóstico del estado del modelo de seguridad y privacidad de la información (MSPI) del INS, la revisión y actualización de la documentación y el levantamiento de los riesgos en todos los procesos de la entidad para garantizar la confidencialidad, integridad y disponibilidad de la información gestionada en el Instituto Nacional de Salud.</w:t>
            </w:r>
          </w:p>
        </w:tc>
        <w:tc>
          <w:tcPr>
            <w:tcW w:w="1038" w:type="dxa"/>
            <w:shd w:val="clear" w:color="000000" w:fill="00B0F0"/>
            <w:noWrap/>
            <w:vAlign w:val="center"/>
            <w:hideMark/>
          </w:tcPr>
          <w:p w14:paraId="22E8D413"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lastRenderedPageBreak/>
              <w:t>Definido</w:t>
            </w:r>
          </w:p>
        </w:tc>
        <w:tc>
          <w:tcPr>
            <w:tcW w:w="850" w:type="dxa"/>
            <w:shd w:val="clear" w:color="auto" w:fill="auto"/>
            <w:noWrap/>
            <w:vAlign w:val="center"/>
            <w:hideMark/>
          </w:tcPr>
          <w:p w14:paraId="591C9CAA"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60%</w:t>
            </w:r>
          </w:p>
        </w:tc>
        <w:tc>
          <w:tcPr>
            <w:tcW w:w="3782" w:type="dxa"/>
            <w:shd w:val="clear" w:color="auto" w:fill="auto"/>
            <w:vAlign w:val="center"/>
            <w:hideMark/>
          </w:tcPr>
          <w:p w14:paraId="39B315B4"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Se debe revisar el manual del sistema integrado de gestión para que se incluya como se </w:t>
            </w:r>
            <w:proofErr w:type="gramStart"/>
            <w:r w:rsidRPr="00E305B4">
              <w:rPr>
                <w:rFonts w:asciiTheme="majorHAnsi" w:eastAsia="Times New Roman" w:hAnsiTheme="majorHAnsi" w:cstheme="majorHAnsi"/>
                <w:color w:val="000000"/>
                <w:sz w:val="16"/>
                <w:szCs w:val="16"/>
                <w:lang w:val="es-CO" w:eastAsia="es-CO"/>
              </w:rPr>
              <w:t>va</w:t>
            </w:r>
            <w:proofErr w:type="gramEnd"/>
            <w:r w:rsidRPr="00E305B4">
              <w:rPr>
                <w:rFonts w:asciiTheme="majorHAnsi" w:eastAsia="Times New Roman" w:hAnsiTheme="majorHAnsi" w:cstheme="majorHAnsi"/>
                <w:color w:val="000000"/>
                <w:sz w:val="16"/>
                <w:szCs w:val="16"/>
                <w:lang w:val="es-CO" w:eastAsia="es-CO"/>
              </w:rPr>
              <w:t xml:space="preserve"> hacer para lograr los objetivos de la seguridad de la información, así como los recursos necesarios, responsables, y el método para evaluar los resultados.</w:t>
            </w:r>
          </w:p>
        </w:tc>
        <w:tc>
          <w:tcPr>
            <w:tcW w:w="1763" w:type="dxa"/>
          </w:tcPr>
          <w:p w14:paraId="26545C1B" w14:textId="77777777" w:rsidR="007F5968" w:rsidRPr="00E305B4" w:rsidRDefault="00373A62" w:rsidP="000F099B">
            <w:pPr>
              <w:rPr>
                <w:rFonts w:asciiTheme="majorHAnsi" w:eastAsia="Times New Roman" w:hAnsiTheme="majorHAnsi" w:cstheme="majorHAnsi"/>
                <w:color w:val="000000"/>
                <w:sz w:val="16"/>
                <w:szCs w:val="16"/>
                <w:lang w:val="es-CO" w:eastAsia="es-CO"/>
              </w:rPr>
            </w:pPr>
            <w:r w:rsidRPr="00967526">
              <w:rPr>
                <w:rFonts w:asciiTheme="majorHAnsi" w:eastAsia="Times New Roman" w:hAnsiTheme="majorHAnsi" w:cstheme="majorHAnsi"/>
                <w:color w:val="000000"/>
                <w:sz w:val="16"/>
                <w:szCs w:val="16"/>
                <w:highlight w:val="green"/>
                <w:lang w:val="es-CO" w:eastAsia="es-CO"/>
              </w:rPr>
              <w:t>Manual de calidad</w:t>
            </w:r>
          </w:p>
        </w:tc>
      </w:tr>
      <w:tr w:rsidR="00274728" w:rsidRPr="00E305B4" w14:paraId="5A793E63" w14:textId="77777777" w:rsidTr="007F5968">
        <w:trPr>
          <w:trHeight w:val="20"/>
        </w:trPr>
        <w:tc>
          <w:tcPr>
            <w:tcW w:w="840" w:type="dxa"/>
            <w:shd w:val="clear" w:color="auto" w:fill="auto"/>
            <w:vAlign w:val="center"/>
            <w:hideMark/>
          </w:tcPr>
          <w:p w14:paraId="72672D67"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6.2 (i)</w:t>
            </w:r>
          </w:p>
        </w:tc>
        <w:tc>
          <w:tcPr>
            <w:tcW w:w="1854" w:type="dxa"/>
            <w:vMerge/>
            <w:vAlign w:val="center"/>
            <w:hideMark/>
          </w:tcPr>
          <w:p w14:paraId="7B45B775"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3C9C0B33"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cuando se finalizará; y</w:t>
            </w:r>
          </w:p>
        </w:tc>
        <w:tc>
          <w:tcPr>
            <w:tcW w:w="1368" w:type="dxa"/>
            <w:shd w:val="clear" w:color="000000" w:fill="008000"/>
            <w:vAlign w:val="center"/>
            <w:hideMark/>
          </w:tcPr>
          <w:p w14:paraId="49667B91"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7B9F53EC" w14:textId="77777777" w:rsidR="00373A62" w:rsidRDefault="00373A62" w:rsidP="00373A62">
            <w:pPr>
              <w:rPr>
                <w:rFonts w:asciiTheme="majorHAnsi" w:eastAsia="Times New Roman" w:hAnsiTheme="majorHAnsi" w:cstheme="majorHAnsi"/>
                <w:color w:val="000000"/>
                <w:sz w:val="16"/>
                <w:szCs w:val="16"/>
                <w:lang w:val="es-CO" w:eastAsia="es-CO"/>
              </w:rPr>
            </w:pPr>
            <w:r w:rsidRPr="00992986">
              <w:rPr>
                <w:rFonts w:asciiTheme="majorHAnsi" w:eastAsia="Times New Roman" w:hAnsiTheme="majorHAnsi" w:cstheme="majorHAnsi"/>
                <w:color w:val="000000"/>
                <w:sz w:val="16"/>
                <w:szCs w:val="16"/>
                <w:highlight w:val="magenta"/>
                <w:lang w:val="es-CO" w:eastAsia="es-CO"/>
              </w:rPr>
              <w:t>La alta Dirección con su apoyo y compromiso de la implementación  del sistema de seguridad  ha realizado la contratación dos años consecutivos por medio de una  consultoría la cual realizo un diagnóstico del estado del modelo de seguridad y privacidad de la información (MSPI) del INS, la revisión y actualización de la documentación y el levantamiento de los riesgos en todos los procesos de la entidad para garantizar la confidencialidad, integridad y disponibilidad de la información gestionada, adicionalmente se realizó una socialización de los riesgos, se entregó herramientas para su aplicación, seguimiento, control, se trabajó los procedimientos y las políticas específicas para Instituto Nacional de Salud.</w:t>
            </w:r>
          </w:p>
          <w:p w14:paraId="2A63744E" w14:textId="77777777" w:rsidR="00373A62" w:rsidRDefault="00373A62" w:rsidP="00373A62">
            <w:pPr>
              <w:rPr>
                <w:rFonts w:asciiTheme="majorHAnsi" w:eastAsia="Times New Roman" w:hAnsiTheme="majorHAnsi" w:cstheme="majorHAnsi"/>
                <w:color w:val="000000"/>
                <w:sz w:val="16"/>
                <w:szCs w:val="16"/>
                <w:lang w:val="es-CO" w:eastAsia="es-CO"/>
              </w:rPr>
            </w:pPr>
          </w:p>
          <w:p w14:paraId="447199A5" w14:textId="77777777" w:rsidR="00373A62" w:rsidRDefault="00373A62" w:rsidP="00373A62">
            <w:pPr>
              <w:rPr>
                <w:rFonts w:asciiTheme="majorHAnsi" w:eastAsia="Times New Roman" w:hAnsiTheme="majorHAnsi" w:cstheme="majorHAnsi"/>
                <w:color w:val="000000"/>
                <w:sz w:val="16"/>
                <w:szCs w:val="16"/>
                <w:lang w:val="es-CO" w:eastAsia="es-CO"/>
              </w:rPr>
            </w:pPr>
            <w:r w:rsidRPr="00992986">
              <w:rPr>
                <w:rFonts w:asciiTheme="majorHAnsi" w:eastAsia="Times New Roman" w:hAnsiTheme="majorHAnsi" w:cstheme="majorHAnsi"/>
                <w:color w:val="000000"/>
                <w:sz w:val="16"/>
                <w:szCs w:val="16"/>
                <w:highlight w:val="magenta"/>
                <w:lang w:val="es-CO" w:eastAsia="es-CO"/>
              </w:rPr>
              <w:lastRenderedPageBreak/>
              <w:t>La alta Dirección con su apoyo y compromiso de la implementación  del sistema de seguridad  ha realizado la contratación dos años consecutivos por medio de una  consultoría la cual realizo un diagnóstico del estado del modelo de seguridad y privacidad de la información (MSPI) del INS, la revisión y actualización de la documentación y el levantamiento de los riesgos en todos los procesos de la entidad para garantizar la confidencialidad, integridad y disponibilidad de la información gestionada, adicionalmente se realizó una socialización de los riesgos, se entregó herramientas para su aplicación, seguimiento, control, se trabajó los procedimientos y las políticas específicas para Instituto Nacional de Salud.</w:t>
            </w:r>
          </w:p>
          <w:p w14:paraId="55202974" w14:textId="77777777" w:rsidR="00373A62" w:rsidRDefault="00373A62" w:rsidP="00373A62">
            <w:pPr>
              <w:rPr>
                <w:rFonts w:asciiTheme="majorHAnsi" w:eastAsia="Times New Roman" w:hAnsiTheme="majorHAnsi" w:cstheme="majorHAnsi"/>
                <w:color w:val="000000"/>
                <w:sz w:val="16"/>
                <w:szCs w:val="16"/>
                <w:lang w:val="es-CO" w:eastAsia="es-CO"/>
              </w:rPr>
            </w:pPr>
          </w:p>
          <w:p w14:paraId="4DE3312A" w14:textId="77777777" w:rsidR="00373A62" w:rsidRDefault="00373A62" w:rsidP="000F099B">
            <w:pPr>
              <w:rPr>
                <w:rFonts w:asciiTheme="majorHAnsi" w:eastAsia="Times New Roman" w:hAnsiTheme="majorHAnsi" w:cstheme="majorHAnsi"/>
                <w:color w:val="000000"/>
                <w:sz w:val="16"/>
                <w:szCs w:val="16"/>
                <w:lang w:val="es-CO" w:eastAsia="es-CO"/>
              </w:rPr>
            </w:pPr>
          </w:p>
          <w:p w14:paraId="1FE1F2EC" w14:textId="77777777" w:rsidR="00373A62" w:rsidRDefault="00373A62" w:rsidP="000F099B">
            <w:pPr>
              <w:rPr>
                <w:rFonts w:asciiTheme="majorHAnsi" w:eastAsia="Times New Roman" w:hAnsiTheme="majorHAnsi" w:cstheme="majorHAnsi"/>
                <w:color w:val="000000"/>
                <w:sz w:val="16"/>
                <w:szCs w:val="16"/>
                <w:lang w:val="es-CO" w:eastAsia="es-CO"/>
              </w:rPr>
            </w:pPr>
          </w:p>
          <w:p w14:paraId="3A311955"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El INS cuenta con un PLAN DE SEGURIDAD Y PRIVACIDAD DE LA INFORMACIÓN, en el que se contempla mediante la contratación de una consultoría que realice el diagnóstico del estado del modelo de seguridad y privacidad de la información (MSPI) del INS, la revisión y actualización de la documentación y el levantamiento de los riesgos en todos los procesos de la entidad para garantizar la confidencialidad, integridad y disponibilidad de la información gestionada en el Instituto Nacional de Salud.</w:t>
            </w:r>
          </w:p>
        </w:tc>
        <w:tc>
          <w:tcPr>
            <w:tcW w:w="1038" w:type="dxa"/>
            <w:shd w:val="clear" w:color="000000" w:fill="00B0F0"/>
            <w:noWrap/>
            <w:vAlign w:val="center"/>
            <w:hideMark/>
          </w:tcPr>
          <w:p w14:paraId="08A5A44E"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lastRenderedPageBreak/>
              <w:t>Definido</w:t>
            </w:r>
          </w:p>
        </w:tc>
        <w:tc>
          <w:tcPr>
            <w:tcW w:w="850" w:type="dxa"/>
            <w:shd w:val="clear" w:color="auto" w:fill="auto"/>
            <w:noWrap/>
            <w:vAlign w:val="center"/>
            <w:hideMark/>
          </w:tcPr>
          <w:p w14:paraId="559CF051"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60%</w:t>
            </w:r>
          </w:p>
        </w:tc>
        <w:tc>
          <w:tcPr>
            <w:tcW w:w="3782" w:type="dxa"/>
            <w:shd w:val="clear" w:color="auto" w:fill="auto"/>
            <w:vAlign w:val="center"/>
            <w:hideMark/>
          </w:tcPr>
          <w:p w14:paraId="00BC452C"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Se debe revisar el manual del sistema integrado de gestión para que se incluya como se </w:t>
            </w:r>
            <w:proofErr w:type="gramStart"/>
            <w:r w:rsidRPr="00E305B4">
              <w:rPr>
                <w:rFonts w:asciiTheme="majorHAnsi" w:eastAsia="Times New Roman" w:hAnsiTheme="majorHAnsi" w:cstheme="majorHAnsi"/>
                <w:color w:val="000000"/>
                <w:sz w:val="16"/>
                <w:szCs w:val="16"/>
                <w:lang w:val="es-CO" w:eastAsia="es-CO"/>
              </w:rPr>
              <w:t>va</w:t>
            </w:r>
            <w:proofErr w:type="gramEnd"/>
            <w:r w:rsidRPr="00E305B4">
              <w:rPr>
                <w:rFonts w:asciiTheme="majorHAnsi" w:eastAsia="Times New Roman" w:hAnsiTheme="majorHAnsi" w:cstheme="majorHAnsi"/>
                <w:color w:val="000000"/>
                <w:sz w:val="16"/>
                <w:szCs w:val="16"/>
                <w:lang w:val="es-CO" w:eastAsia="es-CO"/>
              </w:rPr>
              <w:t xml:space="preserve"> hacer para lograr los objetivos de la seguridad de la información, así como los recursos necesarios, responsables, y el método para evaluar los resultados.</w:t>
            </w:r>
          </w:p>
        </w:tc>
        <w:tc>
          <w:tcPr>
            <w:tcW w:w="1763" w:type="dxa"/>
          </w:tcPr>
          <w:p w14:paraId="51B6521F" w14:textId="77777777" w:rsidR="007F5968" w:rsidRPr="00E305B4" w:rsidRDefault="00373A62" w:rsidP="000F099B">
            <w:pPr>
              <w:rPr>
                <w:rFonts w:asciiTheme="majorHAnsi" w:eastAsia="Times New Roman" w:hAnsiTheme="majorHAnsi" w:cstheme="majorHAnsi"/>
                <w:color w:val="000000"/>
                <w:sz w:val="16"/>
                <w:szCs w:val="16"/>
                <w:lang w:val="es-CO" w:eastAsia="es-CO"/>
              </w:rPr>
            </w:pPr>
            <w:r w:rsidRPr="00967526">
              <w:rPr>
                <w:rFonts w:asciiTheme="majorHAnsi" w:eastAsia="Times New Roman" w:hAnsiTheme="majorHAnsi" w:cstheme="majorHAnsi"/>
                <w:color w:val="000000"/>
                <w:sz w:val="16"/>
                <w:szCs w:val="16"/>
                <w:highlight w:val="green"/>
                <w:lang w:val="es-CO" w:eastAsia="es-CO"/>
              </w:rPr>
              <w:t>Manual de calidad</w:t>
            </w:r>
          </w:p>
        </w:tc>
      </w:tr>
      <w:tr w:rsidR="00274728" w:rsidRPr="00E305B4" w14:paraId="6870B4A9" w14:textId="77777777" w:rsidTr="007F5968">
        <w:trPr>
          <w:trHeight w:val="20"/>
        </w:trPr>
        <w:tc>
          <w:tcPr>
            <w:tcW w:w="840" w:type="dxa"/>
            <w:shd w:val="clear" w:color="auto" w:fill="auto"/>
            <w:vAlign w:val="center"/>
            <w:hideMark/>
          </w:tcPr>
          <w:p w14:paraId="785B3A12"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6.2 (j)</w:t>
            </w:r>
          </w:p>
        </w:tc>
        <w:tc>
          <w:tcPr>
            <w:tcW w:w="1854" w:type="dxa"/>
            <w:vMerge/>
            <w:vAlign w:val="center"/>
            <w:hideMark/>
          </w:tcPr>
          <w:p w14:paraId="5ECFCA22"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648A7575"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cómo se evaluarán los resultados.</w:t>
            </w:r>
          </w:p>
        </w:tc>
        <w:tc>
          <w:tcPr>
            <w:tcW w:w="1368" w:type="dxa"/>
            <w:shd w:val="clear" w:color="000000" w:fill="008000"/>
            <w:vAlign w:val="center"/>
            <w:hideMark/>
          </w:tcPr>
          <w:p w14:paraId="2EC8F40E"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6E477BCC" w14:textId="77777777" w:rsidR="00373A62" w:rsidRDefault="00373A62" w:rsidP="000F099B">
            <w:pPr>
              <w:rPr>
                <w:rFonts w:asciiTheme="majorHAnsi" w:eastAsia="Times New Roman" w:hAnsiTheme="majorHAnsi" w:cstheme="majorHAnsi"/>
                <w:color w:val="000000"/>
                <w:sz w:val="16"/>
                <w:szCs w:val="16"/>
                <w:lang w:val="es-CO" w:eastAsia="es-CO"/>
              </w:rPr>
            </w:pPr>
          </w:p>
          <w:p w14:paraId="47654296" w14:textId="77777777" w:rsidR="00373A62" w:rsidRDefault="00373A62" w:rsidP="000F099B">
            <w:pPr>
              <w:rPr>
                <w:rFonts w:asciiTheme="majorHAnsi" w:eastAsia="Times New Roman" w:hAnsiTheme="majorHAnsi" w:cstheme="majorHAnsi"/>
                <w:color w:val="000000"/>
                <w:sz w:val="16"/>
                <w:szCs w:val="16"/>
                <w:lang w:val="es-CO" w:eastAsia="es-CO"/>
              </w:rPr>
            </w:pPr>
          </w:p>
          <w:p w14:paraId="12B8498A" w14:textId="77777777" w:rsidR="00373A62" w:rsidRDefault="00373A62" w:rsidP="00373A62">
            <w:pPr>
              <w:rPr>
                <w:rFonts w:asciiTheme="majorHAnsi" w:eastAsia="Times New Roman" w:hAnsiTheme="majorHAnsi" w:cstheme="majorHAnsi"/>
                <w:color w:val="000000"/>
                <w:sz w:val="16"/>
                <w:szCs w:val="16"/>
                <w:lang w:val="es-CO" w:eastAsia="es-CO"/>
              </w:rPr>
            </w:pPr>
            <w:r w:rsidRPr="00992986">
              <w:rPr>
                <w:rFonts w:asciiTheme="majorHAnsi" w:eastAsia="Times New Roman" w:hAnsiTheme="majorHAnsi" w:cstheme="majorHAnsi"/>
                <w:color w:val="000000"/>
                <w:sz w:val="16"/>
                <w:szCs w:val="16"/>
                <w:highlight w:val="magenta"/>
                <w:lang w:val="es-CO" w:eastAsia="es-CO"/>
              </w:rPr>
              <w:t xml:space="preserve">La alta Dirección con su apoyo y compromiso de la implementación  del sistema de seguridad  ha realizado la contratación dos años consecutivos por medio de una  consultoría la cual realizo un diagnóstico del estado del modelo de seguridad y privacidad de la información (MSPI) del INS, la revisión y actualización de la documentación y el </w:t>
            </w:r>
            <w:r w:rsidRPr="00992986">
              <w:rPr>
                <w:rFonts w:asciiTheme="majorHAnsi" w:eastAsia="Times New Roman" w:hAnsiTheme="majorHAnsi" w:cstheme="majorHAnsi"/>
                <w:color w:val="000000"/>
                <w:sz w:val="16"/>
                <w:szCs w:val="16"/>
                <w:highlight w:val="magenta"/>
                <w:lang w:val="es-CO" w:eastAsia="es-CO"/>
              </w:rPr>
              <w:lastRenderedPageBreak/>
              <w:t>levantamiento de los riesgos en todos los procesos de la entidad para garantizar la confidencialidad, integridad y disponibilidad de la información gestionada, adicionalmente se realizó una socialización de los riesgos, se entregó herramientas para su aplicación, seguimiento, control, se trabajó los procedimientos y las políticas específicas para Instituto Nacional de Salud.</w:t>
            </w:r>
          </w:p>
          <w:p w14:paraId="42E9ECD4"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Actualmente el INS ha asignado recursos para la contratación de una consultoría que realice el diagnóstico del estado del modelo de seguridad y privacidad de la información (MSPI) del INS, la revisión y actualización de la documentación y el levantamiento de los riesgos en todos los procesos de la entidad para garantizar la confidencialidad, integridad y disponibilidad de la información gestionada en el Instituto Nacional de Salud.</w:t>
            </w:r>
          </w:p>
        </w:tc>
        <w:tc>
          <w:tcPr>
            <w:tcW w:w="1038" w:type="dxa"/>
            <w:shd w:val="clear" w:color="000000" w:fill="00B0F0"/>
            <w:noWrap/>
            <w:vAlign w:val="center"/>
            <w:hideMark/>
          </w:tcPr>
          <w:p w14:paraId="232F559D"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lastRenderedPageBreak/>
              <w:t>Definido</w:t>
            </w:r>
          </w:p>
        </w:tc>
        <w:tc>
          <w:tcPr>
            <w:tcW w:w="850" w:type="dxa"/>
            <w:shd w:val="clear" w:color="auto" w:fill="auto"/>
            <w:noWrap/>
            <w:vAlign w:val="center"/>
            <w:hideMark/>
          </w:tcPr>
          <w:p w14:paraId="69F41E48" w14:textId="77777777" w:rsidR="007F5968" w:rsidRPr="00E305B4" w:rsidRDefault="00373A62"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8</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553A9D7A"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Se debe revisar el manual del sistema integrado de gestión para que se incluya como se </w:t>
            </w:r>
            <w:proofErr w:type="gramStart"/>
            <w:r w:rsidRPr="00E305B4">
              <w:rPr>
                <w:rFonts w:asciiTheme="majorHAnsi" w:eastAsia="Times New Roman" w:hAnsiTheme="majorHAnsi" w:cstheme="majorHAnsi"/>
                <w:color w:val="000000"/>
                <w:sz w:val="16"/>
                <w:szCs w:val="16"/>
                <w:lang w:val="es-CO" w:eastAsia="es-CO"/>
              </w:rPr>
              <w:t>va</w:t>
            </w:r>
            <w:proofErr w:type="gramEnd"/>
            <w:r w:rsidRPr="00E305B4">
              <w:rPr>
                <w:rFonts w:asciiTheme="majorHAnsi" w:eastAsia="Times New Roman" w:hAnsiTheme="majorHAnsi" w:cstheme="majorHAnsi"/>
                <w:color w:val="000000"/>
                <w:sz w:val="16"/>
                <w:szCs w:val="16"/>
                <w:lang w:val="es-CO" w:eastAsia="es-CO"/>
              </w:rPr>
              <w:t xml:space="preserve"> hacer para lograr los objetivos de la seguridad de la información, así como los recursos necesarios, responsables, y el método para evaluar los resultados.</w:t>
            </w:r>
          </w:p>
        </w:tc>
        <w:tc>
          <w:tcPr>
            <w:tcW w:w="1763" w:type="dxa"/>
          </w:tcPr>
          <w:p w14:paraId="44B82BAF" w14:textId="77777777" w:rsidR="007F5968" w:rsidRPr="00E305B4" w:rsidRDefault="00373A62" w:rsidP="000F099B">
            <w:pPr>
              <w:rPr>
                <w:rFonts w:asciiTheme="majorHAnsi" w:eastAsia="Times New Roman" w:hAnsiTheme="majorHAnsi" w:cstheme="majorHAnsi"/>
                <w:color w:val="000000"/>
                <w:sz w:val="16"/>
                <w:szCs w:val="16"/>
                <w:lang w:val="es-CO" w:eastAsia="es-CO"/>
              </w:rPr>
            </w:pPr>
            <w:r w:rsidRPr="00967526">
              <w:rPr>
                <w:rFonts w:asciiTheme="majorHAnsi" w:eastAsia="Times New Roman" w:hAnsiTheme="majorHAnsi" w:cstheme="majorHAnsi"/>
                <w:color w:val="000000"/>
                <w:sz w:val="16"/>
                <w:szCs w:val="16"/>
                <w:highlight w:val="green"/>
                <w:lang w:val="es-CO" w:eastAsia="es-CO"/>
              </w:rPr>
              <w:t>Manual de calidad</w:t>
            </w:r>
          </w:p>
        </w:tc>
      </w:tr>
      <w:tr w:rsidR="00BC0293" w:rsidRPr="00E305B4" w14:paraId="054B193C" w14:textId="77777777" w:rsidTr="007F5968">
        <w:trPr>
          <w:trHeight w:val="20"/>
        </w:trPr>
        <w:tc>
          <w:tcPr>
            <w:tcW w:w="840" w:type="dxa"/>
            <w:shd w:val="clear" w:color="000000" w:fill="538DD5"/>
            <w:noWrap/>
            <w:vAlign w:val="center"/>
            <w:hideMark/>
          </w:tcPr>
          <w:p w14:paraId="46CF9A4D"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7</w:t>
            </w:r>
          </w:p>
        </w:tc>
        <w:tc>
          <w:tcPr>
            <w:tcW w:w="10057" w:type="dxa"/>
            <w:gridSpan w:val="5"/>
            <w:shd w:val="clear" w:color="000000" w:fill="538DD5"/>
            <w:noWrap/>
            <w:vAlign w:val="center"/>
            <w:hideMark/>
          </w:tcPr>
          <w:p w14:paraId="255F4CD2"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SOPORTE</w:t>
            </w:r>
          </w:p>
        </w:tc>
        <w:tc>
          <w:tcPr>
            <w:tcW w:w="850" w:type="dxa"/>
            <w:shd w:val="clear" w:color="000000" w:fill="538DD5"/>
            <w:noWrap/>
            <w:vAlign w:val="center"/>
            <w:hideMark/>
          </w:tcPr>
          <w:p w14:paraId="5412EDC1"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33%</w:t>
            </w:r>
          </w:p>
        </w:tc>
        <w:tc>
          <w:tcPr>
            <w:tcW w:w="3782" w:type="dxa"/>
            <w:shd w:val="clear" w:color="000000" w:fill="538DD5"/>
            <w:noWrap/>
            <w:vAlign w:val="center"/>
            <w:hideMark/>
          </w:tcPr>
          <w:p w14:paraId="7537DA4E"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7ABED054"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BC0293" w:rsidRPr="00E305B4" w14:paraId="294CE136" w14:textId="77777777" w:rsidTr="007F5968">
        <w:trPr>
          <w:trHeight w:val="20"/>
        </w:trPr>
        <w:tc>
          <w:tcPr>
            <w:tcW w:w="840" w:type="dxa"/>
            <w:shd w:val="clear" w:color="000000" w:fill="538DD5"/>
            <w:noWrap/>
            <w:vAlign w:val="center"/>
            <w:hideMark/>
          </w:tcPr>
          <w:p w14:paraId="2D13C9DF"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7.1</w:t>
            </w:r>
          </w:p>
        </w:tc>
        <w:tc>
          <w:tcPr>
            <w:tcW w:w="10057" w:type="dxa"/>
            <w:gridSpan w:val="5"/>
            <w:shd w:val="clear" w:color="000000" w:fill="538DD5"/>
            <w:noWrap/>
            <w:vAlign w:val="center"/>
            <w:hideMark/>
          </w:tcPr>
          <w:p w14:paraId="6B3436E4"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Recursos</w:t>
            </w:r>
          </w:p>
        </w:tc>
        <w:tc>
          <w:tcPr>
            <w:tcW w:w="850" w:type="dxa"/>
            <w:shd w:val="clear" w:color="000000" w:fill="538DD5"/>
            <w:noWrap/>
            <w:vAlign w:val="center"/>
            <w:hideMark/>
          </w:tcPr>
          <w:p w14:paraId="4D2AC296"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60%</w:t>
            </w:r>
          </w:p>
        </w:tc>
        <w:tc>
          <w:tcPr>
            <w:tcW w:w="3782" w:type="dxa"/>
            <w:shd w:val="clear" w:color="000000" w:fill="538DD5"/>
            <w:noWrap/>
            <w:vAlign w:val="center"/>
            <w:hideMark/>
          </w:tcPr>
          <w:p w14:paraId="7C77D4C6"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1C2A996E"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7B0143E6" w14:textId="77777777" w:rsidTr="007F5968">
        <w:trPr>
          <w:trHeight w:val="20"/>
        </w:trPr>
        <w:tc>
          <w:tcPr>
            <w:tcW w:w="840" w:type="dxa"/>
            <w:shd w:val="clear" w:color="auto" w:fill="auto"/>
            <w:vAlign w:val="center"/>
            <w:hideMark/>
          </w:tcPr>
          <w:p w14:paraId="05689CB4"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7.1</w:t>
            </w:r>
          </w:p>
        </w:tc>
        <w:tc>
          <w:tcPr>
            <w:tcW w:w="1854" w:type="dxa"/>
            <w:shd w:val="clear" w:color="auto" w:fill="auto"/>
            <w:vAlign w:val="center"/>
            <w:hideMark/>
          </w:tcPr>
          <w:p w14:paraId="19504ED4"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Recursos</w:t>
            </w:r>
          </w:p>
        </w:tc>
        <w:tc>
          <w:tcPr>
            <w:tcW w:w="2551" w:type="dxa"/>
            <w:shd w:val="clear" w:color="auto" w:fill="auto"/>
            <w:vAlign w:val="center"/>
            <w:hideMark/>
          </w:tcPr>
          <w:p w14:paraId="38ECDFA7"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organización debe determinar y proporcionar los recursos necesarios para el establecimiento, implementación, mantenimiento y mejora continua del sistema de gestión de la seguridad de la información.</w:t>
            </w:r>
          </w:p>
        </w:tc>
        <w:tc>
          <w:tcPr>
            <w:tcW w:w="1368" w:type="dxa"/>
            <w:shd w:val="clear" w:color="000000" w:fill="008000"/>
            <w:vAlign w:val="center"/>
            <w:hideMark/>
          </w:tcPr>
          <w:p w14:paraId="724CCBD4"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07346CC5" w14:textId="77777777" w:rsidR="00373A62" w:rsidRDefault="00373A62" w:rsidP="000F099B">
            <w:pPr>
              <w:rPr>
                <w:rFonts w:asciiTheme="majorHAnsi" w:eastAsia="Times New Roman" w:hAnsiTheme="majorHAnsi" w:cstheme="majorHAnsi"/>
                <w:color w:val="000000"/>
                <w:sz w:val="16"/>
                <w:szCs w:val="16"/>
                <w:lang w:val="es-CO" w:eastAsia="es-CO"/>
              </w:rPr>
            </w:pPr>
          </w:p>
          <w:p w14:paraId="013D72A6" w14:textId="77777777" w:rsidR="00373A62" w:rsidRDefault="00373A62" w:rsidP="00373A62">
            <w:pPr>
              <w:rPr>
                <w:rFonts w:asciiTheme="majorHAnsi" w:eastAsia="Times New Roman" w:hAnsiTheme="majorHAnsi" w:cstheme="majorHAnsi"/>
                <w:color w:val="000000"/>
                <w:sz w:val="16"/>
                <w:szCs w:val="16"/>
                <w:lang w:val="es-CO" w:eastAsia="es-CO"/>
              </w:rPr>
            </w:pPr>
            <w:r w:rsidRPr="00992986">
              <w:rPr>
                <w:rFonts w:asciiTheme="majorHAnsi" w:eastAsia="Times New Roman" w:hAnsiTheme="majorHAnsi" w:cstheme="majorHAnsi"/>
                <w:color w:val="000000"/>
                <w:sz w:val="16"/>
                <w:szCs w:val="16"/>
                <w:highlight w:val="magenta"/>
                <w:lang w:val="es-CO" w:eastAsia="es-CO"/>
              </w:rPr>
              <w:t>La alta Dirección con su apoyo y compromiso de la implementación  del sistema de seguridad  ha realizado la contratación dos años consecutivos por medio de una  consultoría la cual realizo un diagnóstico del estado del modelo de seguridad y privacidad de la información (MSPI) del INS, la revisión y actualización de la documentación y el levantamiento de los riesgos en todos los procesos de la entidad para garantizar la confidencialidad, integridad y disponibilidad de la información gestionada, adicionalmente se realizó una socialización de los riesgos, se entregó herramientas para su aplicación, seguimiento, control, se trabajó los procedimientos y las políticas específicas para Instituto Nacional de Salud.</w:t>
            </w:r>
          </w:p>
          <w:p w14:paraId="2D63FCCF" w14:textId="77777777" w:rsidR="00373A62" w:rsidRDefault="00373A62" w:rsidP="000F099B">
            <w:pPr>
              <w:rPr>
                <w:rFonts w:asciiTheme="majorHAnsi" w:eastAsia="Times New Roman" w:hAnsiTheme="majorHAnsi" w:cstheme="majorHAnsi"/>
                <w:color w:val="000000"/>
                <w:sz w:val="16"/>
                <w:szCs w:val="16"/>
                <w:lang w:val="es-CO" w:eastAsia="es-CO"/>
              </w:rPr>
            </w:pPr>
          </w:p>
          <w:p w14:paraId="6FE65502"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Actualmente el INS ha asignado recursos para la contratación de una consultoría que </w:t>
            </w:r>
            <w:r w:rsidRPr="00E305B4">
              <w:rPr>
                <w:rFonts w:asciiTheme="majorHAnsi" w:eastAsia="Times New Roman" w:hAnsiTheme="majorHAnsi" w:cstheme="majorHAnsi"/>
                <w:color w:val="000000"/>
                <w:sz w:val="16"/>
                <w:szCs w:val="16"/>
                <w:lang w:val="es-CO" w:eastAsia="es-CO"/>
              </w:rPr>
              <w:lastRenderedPageBreak/>
              <w:t>realice el diagnóstico del estado del modelo de seguridad y privacidad de la información (MSPI) del INS, la revisión y actualización de la documentación y el levantamiento de los riesgos en todos los procesos de la entidad para garantizar la confidencialidad, integridad y disponibilidad de la información gestionada en el Instituto Nacional de Salud.</w:t>
            </w:r>
          </w:p>
        </w:tc>
        <w:tc>
          <w:tcPr>
            <w:tcW w:w="1038" w:type="dxa"/>
            <w:shd w:val="clear" w:color="000000" w:fill="00B0F0"/>
            <w:noWrap/>
            <w:vAlign w:val="center"/>
            <w:hideMark/>
          </w:tcPr>
          <w:p w14:paraId="725821D3"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lastRenderedPageBreak/>
              <w:t>Definido</w:t>
            </w:r>
          </w:p>
        </w:tc>
        <w:tc>
          <w:tcPr>
            <w:tcW w:w="850" w:type="dxa"/>
            <w:shd w:val="clear" w:color="auto" w:fill="auto"/>
            <w:noWrap/>
            <w:vAlign w:val="center"/>
            <w:hideMark/>
          </w:tcPr>
          <w:p w14:paraId="3A169A0F" w14:textId="77777777" w:rsidR="007F5968" w:rsidRPr="00E305B4" w:rsidRDefault="00373A62"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8</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1020F56A"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debe revisar el manual del sistema integrado de gestión para que se incluya que el INS determinara y proporcionara los recursos necesarios para el establecimiento, implementación, mantenimiento y mejora continua del sistema de gestión de la seguridad de la información.</w:t>
            </w:r>
          </w:p>
        </w:tc>
        <w:tc>
          <w:tcPr>
            <w:tcW w:w="1763" w:type="dxa"/>
          </w:tcPr>
          <w:p w14:paraId="5B738D51" w14:textId="77777777" w:rsidR="007F5968" w:rsidRPr="00E305B4" w:rsidRDefault="00373A62"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Se efectuó la contratación y el alcance fue análisis de riesgos, procedimientos </w:t>
            </w:r>
          </w:p>
        </w:tc>
      </w:tr>
      <w:tr w:rsidR="00BC0293" w:rsidRPr="00E305B4" w14:paraId="106F40F2" w14:textId="77777777" w:rsidTr="007F5968">
        <w:trPr>
          <w:trHeight w:val="20"/>
        </w:trPr>
        <w:tc>
          <w:tcPr>
            <w:tcW w:w="840" w:type="dxa"/>
            <w:shd w:val="clear" w:color="000000" w:fill="538DD5"/>
            <w:noWrap/>
            <w:vAlign w:val="center"/>
            <w:hideMark/>
          </w:tcPr>
          <w:p w14:paraId="7A96C8D6"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7.2</w:t>
            </w:r>
          </w:p>
        </w:tc>
        <w:tc>
          <w:tcPr>
            <w:tcW w:w="10057" w:type="dxa"/>
            <w:gridSpan w:val="5"/>
            <w:shd w:val="clear" w:color="000000" w:fill="538DD5"/>
            <w:noWrap/>
            <w:vAlign w:val="center"/>
            <w:hideMark/>
          </w:tcPr>
          <w:p w14:paraId="05A3A45E"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Competencia</w:t>
            </w:r>
          </w:p>
        </w:tc>
        <w:tc>
          <w:tcPr>
            <w:tcW w:w="850" w:type="dxa"/>
            <w:shd w:val="clear" w:color="000000" w:fill="538DD5"/>
            <w:noWrap/>
            <w:vAlign w:val="center"/>
            <w:hideMark/>
          </w:tcPr>
          <w:p w14:paraId="71E56FE7"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30%</w:t>
            </w:r>
          </w:p>
        </w:tc>
        <w:tc>
          <w:tcPr>
            <w:tcW w:w="3782" w:type="dxa"/>
            <w:shd w:val="clear" w:color="000000" w:fill="538DD5"/>
            <w:noWrap/>
            <w:vAlign w:val="center"/>
            <w:hideMark/>
          </w:tcPr>
          <w:p w14:paraId="0A02F53F"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2E871CF9"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243FADFB" w14:textId="77777777" w:rsidTr="007F5968">
        <w:trPr>
          <w:trHeight w:val="20"/>
        </w:trPr>
        <w:tc>
          <w:tcPr>
            <w:tcW w:w="840" w:type="dxa"/>
            <w:shd w:val="clear" w:color="auto" w:fill="auto"/>
            <w:vAlign w:val="center"/>
            <w:hideMark/>
          </w:tcPr>
          <w:p w14:paraId="171B3824"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7.2 (a)</w:t>
            </w:r>
          </w:p>
        </w:tc>
        <w:tc>
          <w:tcPr>
            <w:tcW w:w="1854" w:type="dxa"/>
            <w:vMerge w:val="restart"/>
            <w:shd w:val="clear" w:color="auto" w:fill="auto"/>
            <w:vAlign w:val="center"/>
            <w:hideMark/>
          </w:tcPr>
          <w:p w14:paraId="0A4587B6"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organización debe:</w:t>
            </w:r>
          </w:p>
        </w:tc>
        <w:tc>
          <w:tcPr>
            <w:tcW w:w="2551" w:type="dxa"/>
            <w:shd w:val="clear" w:color="auto" w:fill="auto"/>
            <w:vAlign w:val="center"/>
            <w:hideMark/>
          </w:tcPr>
          <w:p w14:paraId="2874014C"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determinar la competencia necesaria de las personas que realizan, bajo su control, un trabajo que afecta su desempeño de la seguridad de la información, y</w:t>
            </w:r>
          </w:p>
        </w:tc>
        <w:tc>
          <w:tcPr>
            <w:tcW w:w="1368" w:type="dxa"/>
            <w:shd w:val="clear" w:color="000000" w:fill="C00000"/>
            <w:vAlign w:val="center"/>
            <w:hideMark/>
          </w:tcPr>
          <w:p w14:paraId="05629296" w14:textId="77777777" w:rsidR="007F5968" w:rsidRPr="00E305B4" w:rsidRDefault="00373A62" w:rsidP="000F099B">
            <w:pPr>
              <w:jc w:val="center"/>
              <w:rPr>
                <w:rFonts w:asciiTheme="majorHAnsi" w:eastAsia="Times New Roman" w:hAnsiTheme="majorHAnsi" w:cstheme="majorHAnsi"/>
                <w:b/>
                <w:bCs/>
                <w:color w:val="FFFFFF"/>
                <w:sz w:val="16"/>
                <w:szCs w:val="16"/>
                <w:lang w:val="es-CO" w:eastAsia="es-CO"/>
              </w:rPr>
            </w:pPr>
            <w:r>
              <w:rPr>
                <w:rFonts w:asciiTheme="majorHAnsi" w:eastAsia="Times New Roman" w:hAnsiTheme="majorHAnsi" w:cstheme="majorHAnsi"/>
                <w:b/>
                <w:bCs/>
                <w:color w:val="FFFFFF"/>
                <w:sz w:val="16"/>
                <w:szCs w:val="16"/>
                <w:lang w:val="es-CO" w:eastAsia="es-CO"/>
              </w:rPr>
              <w:t>PARCIAL</w:t>
            </w:r>
          </w:p>
        </w:tc>
        <w:tc>
          <w:tcPr>
            <w:tcW w:w="3246" w:type="dxa"/>
            <w:shd w:val="clear" w:color="auto" w:fill="auto"/>
            <w:vAlign w:val="center"/>
            <w:hideMark/>
          </w:tcPr>
          <w:p w14:paraId="319E2D08" w14:textId="77777777" w:rsidR="007F5968" w:rsidRPr="00E305B4" w:rsidRDefault="00373A62"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En la Resolución 0186 de 2019 se generan roles y responsabilidades </w:t>
            </w:r>
            <w:r w:rsidR="007F5968" w:rsidRPr="00E305B4">
              <w:rPr>
                <w:rFonts w:asciiTheme="majorHAnsi" w:eastAsia="Times New Roman" w:hAnsiTheme="majorHAnsi" w:cstheme="majorHAnsi"/>
                <w:color w:val="000000"/>
                <w:sz w:val="16"/>
                <w:szCs w:val="16"/>
                <w:lang w:val="es-CO" w:eastAsia="es-CO"/>
              </w:rPr>
              <w:t>sobre el sistema de gestión de seguridad de la información</w:t>
            </w:r>
          </w:p>
        </w:tc>
        <w:tc>
          <w:tcPr>
            <w:tcW w:w="1038" w:type="dxa"/>
            <w:shd w:val="clear" w:color="000000" w:fill="FF0000"/>
            <w:noWrap/>
            <w:vAlign w:val="center"/>
            <w:hideMark/>
          </w:tcPr>
          <w:p w14:paraId="1C3249A6"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5040328E" w14:textId="77777777" w:rsidR="007F5968" w:rsidRPr="00E305B4" w:rsidRDefault="00373A62"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40</w:t>
            </w:r>
            <w:r w:rsidR="007F5968"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49E055D7" w14:textId="77777777" w:rsidR="00373A62" w:rsidRDefault="00373A62"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En la Resolución 0186 de 2019 se generan roles y responsabilidades </w:t>
            </w:r>
            <w:r w:rsidRPr="00E305B4">
              <w:rPr>
                <w:rFonts w:asciiTheme="majorHAnsi" w:eastAsia="Times New Roman" w:hAnsiTheme="majorHAnsi" w:cstheme="majorHAnsi"/>
                <w:color w:val="000000"/>
                <w:sz w:val="16"/>
                <w:szCs w:val="16"/>
                <w:lang w:val="es-CO" w:eastAsia="es-CO"/>
              </w:rPr>
              <w:t>sobre el sistema de gestión de seguridad de la información</w:t>
            </w:r>
          </w:p>
          <w:p w14:paraId="3E49F44B" w14:textId="77777777" w:rsidR="00373A62" w:rsidRDefault="00373A62" w:rsidP="000F099B">
            <w:pPr>
              <w:rPr>
                <w:rFonts w:asciiTheme="majorHAnsi" w:eastAsia="Times New Roman" w:hAnsiTheme="majorHAnsi" w:cstheme="majorHAnsi"/>
                <w:color w:val="000000"/>
                <w:sz w:val="16"/>
                <w:szCs w:val="16"/>
                <w:lang w:val="es-CO" w:eastAsia="es-CO"/>
              </w:rPr>
            </w:pPr>
          </w:p>
          <w:p w14:paraId="362DBD42"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debe revisar el manual del sistema integrado de gestión para que se incluya la competencia necesaria de las personas que realizan un trabajo que afecta el desempeño de la seguridad de la información, basándose en la educación, formación o experiencia adecuadas</w:t>
            </w:r>
          </w:p>
        </w:tc>
        <w:tc>
          <w:tcPr>
            <w:tcW w:w="1763" w:type="dxa"/>
          </w:tcPr>
          <w:p w14:paraId="13C268EB" w14:textId="77777777" w:rsidR="007F5968" w:rsidRPr="00E305B4" w:rsidRDefault="00373A62" w:rsidP="000F099B">
            <w:pPr>
              <w:rPr>
                <w:rFonts w:asciiTheme="majorHAnsi" w:eastAsia="Times New Roman" w:hAnsiTheme="majorHAnsi" w:cstheme="majorHAnsi"/>
                <w:color w:val="000000"/>
                <w:sz w:val="16"/>
                <w:szCs w:val="16"/>
                <w:lang w:val="es-CO" w:eastAsia="es-CO"/>
              </w:rPr>
            </w:pPr>
            <w:r w:rsidRPr="00373A62">
              <w:rPr>
                <w:rFonts w:asciiTheme="majorHAnsi" w:eastAsia="Times New Roman" w:hAnsiTheme="majorHAnsi" w:cstheme="majorHAnsi"/>
                <w:color w:val="000000"/>
                <w:sz w:val="16"/>
                <w:szCs w:val="16"/>
                <w:highlight w:val="green"/>
                <w:lang w:val="es-CO" w:eastAsia="es-CO"/>
              </w:rPr>
              <w:t>la Resolución 0186 de 2019</w:t>
            </w:r>
          </w:p>
        </w:tc>
      </w:tr>
      <w:tr w:rsidR="00274728" w:rsidRPr="00E305B4" w14:paraId="2FCFEAD0" w14:textId="77777777" w:rsidTr="007F5968">
        <w:trPr>
          <w:trHeight w:val="20"/>
        </w:trPr>
        <w:tc>
          <w:tcPr>
            <w:tcW w:w="840" w:type="dxa"/>
            <w:shd w:val="clear" w:color="auto" w:fill="auto"/>
            <w:vAlign w:val="center"/>
            <w:hideMark/>
          </w:tcPr>
          <w:p w14:paraId="3A0228E9"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7.2 (b)</w:t>
            </w:r>
          </w:p>
        </w:tc>
        <w:tc>
          <w:tcPr>
            <w:tcW w:w="1854" w:type="dxa"/>
            <w:vMerge/>
            <w:vAlign w:val="center"/>
            <w:hideMark/>
          </w:tcPr>
          <w:p w14:paraId="7FE84B5B"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0D9FE4A9"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asegurarse de que estas personas sean competentes, basándose en la educación, formación o experiencia adecuadas</w:t>
            </w:r>
          </w:p>
        </w:tc>
        <w:tc>
          <w:tcPr>
            <w:tcW w:w="1368" w:type="dxa"/>
            <w:shd w:val="clear" w:color="000000" w:fill="FFC000"/>
            <w:vAlign w:val="center"/>
            <w:hideMark/>
          </w:tcPr>
          <w:p w14:paraId="4A13F1F3"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PARCIAL</w:t>
            </w:r>
          </w:p>
        </w:tc>
        <w:tc>
          <w:tcPr>
            <w:tcW w:w="3246" w:type="dxa"/>
            <w:shd w:val="clear" w:color="auto" w:fill="auto"/>
            <w:vAlign w:val="center"/>
            <w:hideMark/>
          </w:tcPr>
          <w:p w14:paraId="7A35C6D9" w14:textId="77777777" w:rsidR="00122FF1" w:rsidRDefault="00122FF1" w:rsidP="000F099B">
            <w:pPr>
              <w:rPr>
                <w:rFonts w:asciiTheme="majorHAnsi" w:eastAsia="Times New Roman" w:hAnsiTheme="majorHAnsi" w:cstheme="majorHAnsi"/>
                <w:color w:val="000000"/>
                <w:sz w:val="16"/>
                <w:szCs w:val="16"/>
                <w:lang w:val="es-CO" w:eastAsia="es-CO"/>
              </w:rPr>
            </w:pPr>
          </w:p>
          <w:p w14:paraId="7C1A6F49" w14:textId="77777777" w:rsidR="00122FF1" w:rsidRDefault="00122FF1" w:rsidP="000F099B">
            <w:pPr>
              <w:rPr>
                <w:rFonts w:asciiTheme="majorHAnsi" w:eastAsia="Times New Roman" w:hAnsiTheme="majorHAnsi" w:cstheme="majorHAnsi"/>
                <w:color w:val="000000"/>
                <w:sz w:val="16"/>
                <w:szCs w:val="16"/>
                <w:lang w:val="es-CO" w:eastAsia="es-CO"/>
              </w:rPr>
            </w:pPr>
            <w:r w:rsidRPr="00992986">
              <w:rPr>
                <w:rFonts w:asciiTheme="majorHAnsi" w:eastAsia="Times New Roman" w:hAnsiTheme="majorHAnsi" w:cstheme="majorHAnsi"/>
                <w:color w:val="000000"/>
                <w:sz w:val="16"/>
                <w:szCs w:val="16"/>
                <w:highlight w:val="magenta"/>
                <w:lang w:val="es-CO" w:eastAsia="es-CO"/>
              </w:rPr>
              <w:t>La alta Dirección con su apoyo y compromiso de la implementación  del sistema de seguridad  ha realizado la contratación dos años consecutivos por medio de una  consultoría la cual realizo un diagnóstico del estado del modelo de seguridad y privacidad de la información (MSPI) del INS, la revisión y actualización de la documentación y el levantamiento de los riesgos en todos los procesos de la entidad para garantizar la confidencialidad, integridad y disponibilidad de la información gestionada, adicionalmente se realizó una socialización de los riesgos, se entregó herramientas para su aplicación, seguimiento, control, se trabajó los procedimientos y las políticas específicas para Instituto Nacional de Salud</w:t>
            </w:r>
          </w:p>
          <w:p w14:paraId="1D2C387C" w14:textId="77777777" w:rsidR="00122FF1" w:rsidRDefault="00122FF1" w:rsidP="000F099B">
            <w:pPr>
              <w:rPr>
                <w:rFonts w:asciiTheme="majorHAnsi" w:eastAsia="Times New Roman" w:hAnsiTheme="majorHAnsi" w:cstheme="majorHAnsi"/>
                <w:color w:val="000000"/>
                <w:sz w:val="16"/>
                <w:szCs w:val="16"/>
                <w:lang w:val="es-CO" w:eastAsia="es-CO"/>
              </w:rPr>
            </w:pPr>
          </w:p>
          <w:p w14:paraId="447FB55A"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Actualmente el INS ha asignado recursos para la contratación de una consultoría que realice el diagnóstico del estado del modelo de seguridad y privacidad de la información </w:t>
            </w:r>
            <w:r w:rsidRPr="00E305B4">
              <w:rPr>
                <w:rFonts w:asciiTheme="majorHAnsi" w:eastAsia="Times New Roman" w:hAnsiTheme="majorHAnsi" w:cstheme="majorHAnsi"/>
                <w:color w:val="000000"/>
                <w:sz w:val="16"/>
                <w:szCs w:val="16"/>
                <w:lang w:val="es-CO" w:eastAsia="es-CO"/>
              </w:rPr>
              <w:lastRenderedPageBreak/>
              <w:t>(MSPI) del INS, la revisión y actualización de la documentación y el levantamiento de los riesgos en todos los procesos de la entidad para garantizar la confidencialidad, integridad y disponibilidad de la información gestionada en el Instituto Nacional de Salud.</w:t>
            </w:r>
            <w:r w:rsidRPr="00E305B4">
              <w:rPr>
                <w:rFonts w:asciiTheme="majorHAnsi" w:eastAsia="Times New Roman" w:hAnsiTheme="majorHAnsi" w:cstheme="majorHAnsi"/>
                <w:color w:val="000000"/>
                <w:sz w:val="16"/>
                <w:szCs w:val="16"/>
                <w:lang w:val="es-CO" w:eastAsia="es-CO"/>
              </w:rPr>
              <w:br/>
              <w:t>Dicha consultoría incluye la certificación de personal del INS como auditores internos en ISO27001</w:t>
            </w:r>
          </w:p>
        </w:tc>
        <w:tc>
          <w:tcPr>
            <w:tcW w:w="1038" w:type="dxa"/>
            <w:shd w:val="clear" w:color="000000" w:fill="00B0F0"/>
            <w:noWrap/>
            <w:vAlign w:val="center"/>
            <w:hideMark/>
          </w:tcPr>
          <w:p w14:paraId="725D2265"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lastRenderedPageBreak/>
              <w:t>Definido</w:t>
            </w:r>
          </w:p>
        </w:tc>
        <w:tc>
          <w:tcPr>
            <w:tcW w:w="850" w:type="dxa"/>
            <w:shd w:val="clear" w:color="auto" w:fill="auto"/>
            <w:noWrap/>
            <w:vAlign w:val="center"/>
            <w:hideMark/>
          </w:tcPr>
          <w:p w14:paraId="79FD81B0"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60%</w:t>
            </w:r>
          </w:p>
        </w:tc>
        <w:tc>
          <w:tcPr>
            <w:tcW w:w="3782" w:type="dxa"/>
            <w:shd w:val="clear" w:color="auto" w:fill="auto"/>
            <w:vAlign w:val="center"/>
            <w:hideMark/>
          </w:tcPr>
          <w:p w14:paraId="0D6526AA"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debe revisar el manual del sistema integrado de gestión para que se incluya la competencia necesaria de las personas que realizan un trabajo que afecta el desempeño de la seguridad de la información, basándose en la educación, formación o experiencia adecuadas</w:t>
            </w:r>
          </w:p>
        </w:tc>
        <w:tc>
          <w:tcPr>
            <w:tcW w:w="1763" w:type="dxa"/>
          </w:tcPr>
          <w:p w14:paraId="7C89069F" w14:textId="77777777" w:rsidR="007F5968" w:rsidRPr="00E305B4" w:rsidRDefault="00122FF1"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Manual de SIG</w:t>
            </w:r>
          </w:p>
        </w:tc>
      </w:tr>
      <w:tr w:rsidR="00274728" w:rsidRPr="00E305B4" w14:paraId="18883769" w14:textId="77777777" w:rsidTr="007F5968">
        <w:trPr>
          <w:trHeight w:val="20"/>
        </w:trPr>
        <w:tc>
          <w:tcPr>
            <w:tcW w:w="840" w:type="dxa"/>
            <w:shd w:val="clear" w:color="auto" w:fill="auto"/>
            <w:vAlign w:val="center"/>
            <w:hideMark/>
          </w:tcPr>
          <w:p w14:paraId="566FFA83"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7.2 (c)</w:t>
            </w:r>
          </w:p>
        </w:tc>
        <w:tc>
          <w:tcPr>
            <w:tcW w:w="1854" w:type="dxa"/>
            <w:vMerge/>
            <w:vAlign w:val="center"/>
            <w:hideMark/>
          </w:tcPr>
          <w:p w14:paraId="20EA6256"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5ACB428D"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cuando sea aplicable, tomar acciones para adquirir la competencia necesaria y evaluar la eficacia de las acciones tomadas; y</w:t>
            </w:r>
          </w:p>
        </w:tc>
        <w:tc>
          <w:tcPr>
            <w:tcW w:w="1368" w:type="dxa"/>
            <w:shd w:val="clear" w:color="000000" w:fill="FFC000"/>
            <w:vAlign w:val="center"/>
            <w:hideMark/>
          </w:tcPr>
          <w:p w14:paraId="42C4F5BC"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PARCIAL</w:t>
            </w:r>
          </w:p>
        </w:tc>
        <w:tc>
          <w:tcPr>
            <w:tcW w:w="3246" w:type="dxa"/>
            <w:shd w:val="clear" w:color="auto" w:fill="auto"/>
            <w:vAlign w:val="center"/>
            <w:hideMark/>
          </w:tcPr>
          <w:p w14:paraId="19141753" w14:textId="77777777" w:rsidR="00122FF1" w:rsidRDefault="00122FF1" w:rsidP="000F099B">
            <w:pPr>
              <w:rPr>
                <w:rFonts w:asciiTheme="majorHAnsi" w:eastAsia="Times New Roman" w:hAnsiTheme="majorHAnsi" w:cstheme="majorHAnsi"/>
                <w:color w:val="000000"/>
                <w:sz w:val="16"/>
                <w:szCs w:val="16"/>
                <w:lang w:val="es-CO" w:eastAsia="es-CO"/>
              </w:rPr>
            </w:pPr>
            <w:r w:rsidRPr="00992986">
              <w:rPr>
                <w:rFonts w:asciiTheme="majorHAnsi" w:eastAsia="Times New Roman" w:hAnsiTheme="majorHAnsi" w:cstheme="majorHAnsi"/>
                <w:color w:val="000000"/>
                <w:sz w:val="16"/>
                <w:szCs w:val="16"/>
                <w:highlight w:val="magenta"/>
                <w:lang w:val="es-CO" w:eastAsia="es-CO"/>
              </w:rPr>
              <w:t>La alta Dirección con su apoyo y compromiso de la implementación  del sistema de seguridad  ha realizado la contratación dos años consecutivos por medio de una  consultoría la cual realizo un diagnóstico del estado del modelo de seguridad y privacidad de la información (MSPI) del INS, la revisión y actualización de la documentación y el levantamiento de los riesgos en todos los procesos de la entidad para garantizar la confidencialidad, integridad y disponibilidad de la información gestionada, adicionalmente se realizó una socialización de los riesgos, se entregó herramientas para su aplicación, seguimiento, control, se trabajó los procedimientos y las políticas específicas para Instituto Nacional de Salud</w:t>
            </w:r>
            <w:r>
              <w:rPr>
                <w:rFonts w:asciiTheme="majorHAnsi" w:eastAsia="Times New Roman" w:hAnsiTheme="majorHAnsi" w:cstheme="majorHAnsi"/>
                <w:color w:val="000000"/>
                <w:sz w:val="16"/>
                <w:szCs w:val="16"/>
                <w:lang w:val="es-CO" w:eastAsia="es-CO"/>
              </w:rPr>
              <w:t xml:space="preserve"> </w:t>
            </w:r>
          </w:p>
          <w:p w14:paraId="32CF7F74" w14:textId="77777777" w:rsidR="00122FF1" w:rsidRDefault="00122FF1" w:rsidP="000F099B">
            <w:pPr>
              <w:rPr>
                <w:rFonts w:asciiTheme="majorHAnsi" w:eastAsia="Times New Roman" w:hAnsiTheme="majorHAnsi" w:cstheme="majorHAnsi"/>
                <w:color w:val="000000"/>
                <w:sz w:val="16"/>
                <w:szCs w:val="16"/>
                <w:lang w:val="es-CO" w:eastAsia="es-CO"/>
              </w:rPr>
            </w:pPr>
          </w:p>
          <w:p w14:paraId="5D5956BC"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Actualmente el INS ha asignado recursos para la contratación de una consultoría que realice el diagnóstico del estado del modelo de seguridad y privacidad de la información (MSPI) del INS, la revisión y actualización de la documentación y el levantamiento de los riesgos en todos los procesos de la entidad para garantizar la confidencialidad, integridad y disponibilidad de la información gestionada en el Instituto Nacional de Salud.</w:t>
            </w:r>
            <w:r w:rsidRPr="00E305B4">
              <w:rPr>
                <w:rFonts w:asciiTheme="majorHAnsi" w:eastAsia="Times New Roman" w:hAnsiTheme="majorHAnsi" w:cstheme="majorHAnsi"/>
                <w:color w:val="000000"/>
                <w:sz w:val="16"/>
                <w:szCs w:val="16"/>
                <w:lang w:val="es-CO" w:eastAsia="es-CO"/>
              </w:rPr>
              <w:br/>
              <w:t>Dicha consultoría incluye la certificación de personal del INS como auditores internos en ISO27001</w:t>
            </w:r>
          </w:p>
        </w:tc>
        <w:tc>
          <w:tcPr>
            <w:tcW w:w="1038" w:type="dxa"/>
            <w:shd w:val="clear" w:color="000000" w:fill="00B0F0"/>
            <w:noWrap/>
            <w:vAlign w:val="center"/>
            <w:hideMark/>
          </w:tcPr>
          <w:p w14:paraId="47616315"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7E22EEF9"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60%</w:t>
            </w:r>
          </w:p>
        </w:tc>
        <w:tc>
          <w:tcPr>
            <w:tcW w:w="3782" w:type="dxa"/>
            <w:shd w:val="clear" w:color="auto" w:fill="auto"/>
            <w:vAlign w:val="center"/>
            <w:hideMark/>
          </w:tcPr>
          <w:p w14:paraId="1D36B833"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debe revisar el manual del sistema integrado de gestión para que se incluya que se tomaran las acciones necesarias para que las personas que realizan un trabajo que afecta el desempeño de la seguridad de la información adquieran la competencia necesaria y se evalúen la eficacia de las acciones tomadas</w:t>
            </w:r>
          </w:p>
        </w:tc>
        <w:tc>
          <w:tcPr>
            <w:tcW w:w="1763" w:type="dxa"/>
          </w:tcPr>
          <w:p w14:paraId="57454C2D" w14:textId="77777777" w:rsidR="007F5968" w:rsidRPr="00E305B4" w:rsidRDefault="00122FF1"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Manual de </w:t>
            </w:r>
            <w:proofErr w:type="spellStart"/>
            <w:r>
              <w:rPr>
                <w:rFonts w:asciiTheme="majorHAnsi" w:eastAsia="Times New Roman" w:hAnsiTheme="majorHAnsi" w:cstheme="majorHAnsi"/>
                <w:color w:val="000000"/>
                <w:sz w:val="16"/>
                <w:szCs w:val="16"/>
                <w:lang w:val="es-CO" w:eastAsia="es-CO"/>
              </w:rPr>
              <w:t>sIG</w:t>
            </w:r>
            <w:proofErr w:type="spellEnd"/>
          </w:p>
        </w:tc>
      </w:tr>
      <w:tr w:rsidR="00274728" w:rsidRPr="00E305B4" w14:paraId="182A35CA" w14:textId="77777777" w:rsidTr="007F5968">
        <w:trPr>
          <w:trHeight w:val="20"/>
        </w:trPr>
        <w:tc>
          <w:tcPr>
            <w:tcW w:w="840" w:type="dxa"/>
            <w:shd w:val="clear" w:color="auto" w:fill="auto"/>
            <w:vAlign w:val="center"/>
            <w:hideMark/>
          </w:tcPr>
          <w:p w14:paraId="3CC2818D"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7.2 (d)</w:t>
            </w:r>
          </w:p>
        </w:tc>
        <w:tc>
          <w:tcPr>
            <w:tcW w:w="1854" w:type="dxa"/>
            <w:vMerge/>
            <w:vAlign w:val="center"/>
            <w:hideMark/>
          </w:tcPr>
          <w:p w14:paraId="0CF0BFDD"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0AFD3943"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conservar la información documentada apropiada, como </w:t>
            </w:r>
            <w:r w:rsidRPr="00E305B4">
              <w:rPr>
                <w:rFonts w:asciiTheme="majorHAnsi" w:eastAsia="Times New Roman" w:hAnsiTheme="majorHAnsi" w:cstheme="majorHAnsi"/>
                <w:color w:val="000000"/>
                <w:sz w:val="16"/>
                <w:szCs w:val="16"/>
                <w:lang w:val="es-CO" w:eastAsia="es-CO"/>
              </w:rPr>
              <w:lastRenderedPageBreak/>
              <w:t>evidencia de la competencia.</w:t>
            </w:r>
          </w:p>
        </w:tc>
        <w:tc>
          <w:tcPr>
            <w:tcW w:w="1368" w:type="dxa"/>
            <w:shd w:val="clear" w:color="000000" w:fill="C00000"/>
            <w:vAlign w:val="center"/>
            <w:hideMark/>
          </w:tcPr>
          <w:p w14:paraId="2F8A66C1"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lastRenderedPageBreak/>
              <w:t>NO</w:t>
            </w:r>
          </w:p>
        </w:tc>
        <w:tc>
          <w:tcPr>
            <w:tcW w:w="3246" w:type="dxa"/>
            <w:shd w:val="clear" w:color="auto" w:fill="auto"/>
            <w:vAlign w:val="center"/>
            <w:hideMark/>
          </w:tcPr>
          <w:p w14:paraId="6B94C26B"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No se conserva información documentada como evidencia de las competencias en </w:t>
            </w:r>
            <w:r w:rsidRPr="00E305B4">
              <w:rPr>
                <w:rFonts w:asciiTheme="majorHAnsi" w:eastAsia="Times New Roman" w:hAnsiTheme="majorHAnsi" w:cstheme="majorHAnsi"/>
                <w:color w:val="000000"/>
                <w:sz w:val="16"/>
                <w:szCs w:val="16"/>
                <w:lang w:val="es-CO" w:eastAsia="es-CO"/>
              </w:rPr>
              <w:lastRenderedPageBreak/>
              <w:t>seguridad de la información</w:t>
            </w:r>
          </w:p>
        </w:tc>
        <w:tc>
          <w:tcPr>
            <w:tcW w:w="1038" w:type="dxa"/>
            <w:shd w:val="clear" w:color="000000" w:fill="FF0000"/>
            <w:noWrap/>
            <w:vAlign w:val="center"/>
            <w:hideMark/>
          </w:tcPr>
          <w:p w14:paraId="44F36793"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lastRenderedPageBreak/>
              <w:t>Inexistente</w:t>
            </w:r>
          </w:p>
        </w:tc>
        <w:tc>
          <w:tcPr>
            <w:tcW w:w="850" w:type="dxa"/>
            <w:shd w:val="clear" w:color="auto" w:fill="auto"/>
            <w:noWrap/>
            <w:vAlign w:val="center"/>
            <w:hideMark/>
          </w:tcPr>
          <w:p w14:paraId="48D95109"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5406AFEB" w14:textId="77777777" w:rsidR="007F5968" w:rsidRPr="00122FF1" w:rsidRDefault="007F5968" w:rsidP="000F099B">
            <w:pPr>
              <w:rPr>
                <w:rFonts w:asciiTheme="majorHAnsi" w:eastAsia="Times New Roman" w:hAnsiTheme="majorHAnsi" w:cstheme="majorHAnsi"/>
                <w:color w:val="000000"/>
                <w:sz w:val="16"/>
                <w:szCs w:val="16"/>
                <w:highlight w:val="darkGreen"/>
                <w:lang w:val="es-CO" w:eastAsia="es-CO"/>
              </w:rPr>
            </w:pPr>
            <w:r w:rsidRPr="00122FF1">
              <w:rPr>
                <w:rFonts w:asciiTheme="majorHAnsi" w:eastAsia="Times New Roman" w:hAnsiTheme="majorHAnsi" w:cstheme="majorHAnsi"/>
                <w:color w:val="000000"/>
                <w:sz w:val="16"/>
                <w:szCs w:val="16"/>
                <w:highlight w:val="darkGreen"/>
                <w:lang w:val="es-CO" w:eastAsia="es-CO"/>
              </w:rPr>
              <w:t xml:space="preserve">Se debe revisar el manual del sistema integrado de gestión para que se incluya que se tomaran las </w:t>
            </w:r>
            <w:r w:rsidRPr="00122FF1">
              <w:rPr>
                <w:rFonts w:asciiTheme="majorHAnsi" w:eastAsia="Times New Roman" w:hAnsiTheme="majorHAnsi" w:cstheme="majorHAnsi"/>
                <w:color w:val="000000"/>
                <w:sz w:val="16"/>
                <w:szCs w:val="16"/>
                <w:highlight w:val="darkGreen"/>
                <w:lang w:val="es-CO" w:eastAsia="es-CO"/>
              </w:rPr>
              <w:lastRenderedPageBreak/>
              <w:t xml:space="preserve">acciones necesarias para que </w:t>
            </w:r>
            <w:r w:rsidRPr="00122FF1">
              <w:rPr>
                <w:rFonts w:asciiTheme="majorHAnsi" w:eastAsia="Times New Roman" w:hAnsiTheme="majorHAnsi" w:cstheme="majorHAnsi"/>
                <w:color w:val="000000"/>
                <w:sz w:val="16"/>
                <w:szCs w:val="16"/>
                <w:highlight w:val="darkGreen"/>
                <w:lang w:val="es-CO" w:eastAsia="es-CO"/>
              </w:rPr>
              <w:br/>
              <w:t>conserve la información documentada, como evidencia de la competencia adquirida por las personas que realizan un trabajo que afecta el desempeño de la seguridad de la información.</w:t>
            </w:r>
          </w:p>
        </w:tc>
        <w:tc>
          <w:tcPr>
            <w:tcW w:w="1763" w:type="dxa"/>
          </w:tcPr>
          <w:p w14:paraId="1F97A88F" w14:textId="77777777" w:rsidR="007F5968" w:rsidRPr="00E305B4" w:rsidRDefault="00122FF1"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lastRenderedPageBreak/>
              <w:t>averiguar</w:t>
            </w:r>
          </w:p>
        </w:tc>
      </w:tr>
      <w:tr w:rsidR="00BC0293" w:rsidRPr="00E305B4" w14:paraId="7F9A7D5F" w14:textId="77777777" w:rsidTr="007F5968">
        <w:trPr>
          <w:trHeight w:val="20"/>
        </w:trPr>
        <w:tc>
          <w:tcPr>
            <w:tcW w:w="840" w:type="dxa"/>
            <w:shd w:val="clear" w:color="000000" w:fill="538DD5"/>
            <w:noWrap/>
            <w:vAlign w:val="center"/>
            <w:hideMark/>
          </w:tcPr>
          <w:p w14:paraId="265E56EF"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7.3</w:t>
            </w:r>
          </w:p>
        </w:tc>
        <w:tc>
          <w:tcPr>
            <w:tcW w:w="10057" w:type="dxa"/>
            <w:gridSpan w:val="5"/>
            <w:shd w:val="clear" w:color="000000" w:fill="538DD5"/>
            <w:noWrap/>
            <w:vAlign w:val="center"/>
            <w:hideMark/>
          </w:tcPr>
          <w:p w14:paraId="0C39CC6B"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Toma de conciencia</w:t>
            </w:r>
          </w:p>
        </w:tc>
        <w:tc>
          <w:tcPr>
            <w:tcW w:w="850" w:type="dxa"/>
            <w:shd w:val="clear" w:color="000000" w:fill="538DD5"/>
            <w:noWrap/>
            <w:vAlign w:val="center"/>
            <w:hideMark/>
          </w:tcPr>
          <w:p w14:paraId="2063E430"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20%</w:t>
            </w:r>
          </w:p>
        </w:tc>
        <w:tc>
          <w:tcPr>
            <w:tcW w:w="3782" w:type="dxa"/>
            <w:shd w:val="clear" w:color="000000" w:fill="538DD5"/>
            <w:noWrap/>
            <w:vAlign w:val="center"/>
            <w:hideMark/>
          </w:tcPr>
          <w:p w14:paraId="3335CB92"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31CF7A7B"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39C049A6" w14:textId="77777777" w:rsidTr="007F5968">
        <w:trPr>
          <w:trHeight w:val="20"/>
        </w:trPr>
        <w:tc>
          <w:tcPr>
            <w:tcW w:w="840" w:type="dxa"/>
            <w:shd w:val="clear" w:color="auto" w:fill="auto"/>
            <w:vAlign w:val="center"/>
            <w:hideMark/>
          </w:tcPr>
          <w:p w14:paraId="64C8AAA8"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7.3 (a)</w:t>
            </w:r>
          </w:p>
        </w:tc>
        <w:tc>
          <w:tcPr>
            <w:tcW w:w="1854" w:type="dxa"/>
            <w:vMerge w:val="restart"/>
            <w:shd w:val="clear" w:color="auto" w:fill="auto"/>
            <w:vAlign w:val="center"/>
            <w:hideMark/>
          </w:tcPr>
          <w:p w14:paraId="0147E6B2"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Las personas que realizan el trabajo bajo el control de la organización deben tomar conciencia de:</w:t>
            </w:r>
          </w:p>
        </w:tc>
        <w:tc>
          <w:tcPr>
            <w:tcW w:w="2551" w:type="dxa"/>
            <w:shd w:val="clear" w:color="auto" w:fill="auto"/>
            <w:vAlign w:val="center"/>
            <w:hideMark/>
          </w:tcPr>
          <w:p w14:paraId="3E69F136"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política de la seguridad de la información;</w:t>
            </w:r>
          </w:p>
        </w:tc>
        <w:tc>
          <w:tcPr>
            <w:tcW w:w="1368" w:type="dxa"/>
            <w:shd w:val="clear" w:color="000000" w:fill="FFC000"/>
            <w:vAlign w:val="center"/>
            <w:hideMark/>
          </w:tcPr>
          <w:p w14:paraId="01578774"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PARCIAL</w:t>
            </w:r>
          </w:p>
        </w:tc>
        <w:tc>
          <w:tcPr>
            <w:tcW w:w="3246" w:type="dxa"/>
            <w:shd w:val="clear" w:color="auto" w:fill="auto"/>
            <w:vAlign w:val="center"/>
            <w:hideMark/>
          </w:tcPr>
          <w:p w14:paraId="15F41C20" w14:textId="77777777" w:rsidR="007F5968"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Actualmente la política se encuentra publicada en la intranet, y se envían </w:t>
            </w:r>
            <w:proofErr w:type="spellStart"/>
            <w:r w:rsidRPr="00E305B4">
              <w:rPr>
                <w:rFonts w:asciiTheme="majorHAnsi" w:eastAsia="Times New Roman" w:hAnsiTheme="majorHAnsi" w:cstheme="majorHAnsi"/>
                <w:color w:val="000000"/>
                <w:sz w:val="16"/>
                <w:szCs w:val="16"/>
                <w:lang w:val="es-CO" w:eastAsia="es-CO"/>
              </w:rPr>
              <w:t>tips</w:t>
            </w:r>
            <w:proofErr w:type="spellEnd"/>
            <w:r w:rsidRPr="00E305B4">
              <w:rPr>
                <w:rFonts w:asciiTheme="majorHAnsi" w:eastAsia="Times New Roman" w:hAnsiTheme="majorHAnsi" w:cstheme="majorHAnsi"/>
                <w:color w:val="000000"/>
                <w:sz w:val="16"/>
                <w:szCs w:val="16"/>
                <w:lang w:val="es-CO" w:eastAsia="es-CO"/>
              </w:rPr>
              <w:t xml:space="preserve"> por correo relacionados con dicha política</w:t>
            </w:r>
          </w:p>
          <w:p w14:paraId="50E7A6D5" w14:textId="77777777" w:rsidR="008E4BEC" w:rsidRDefault="008E4BEC" w:rsidP="000F099B">
            <w:pPr>
              <w:rPr>
                <w:rFonts w:asciiTheme="majorHAnsi" w:eastAsia="Times New Roman" w:hAnsiTheme="majorHAnsi" w:cstheme="majorHAnsi"/>
                <w:color w:val="000000"/>
                <w:sz w:val="16"/>
                <w:szCs w:val="16"/>
                <w:lang w:val="es-CO" w:eastAsia="es-CO"/>
              </w:rPr>
            </w:pPr>
          </w:p>
          <w:p w14:paraId="61F808FD" w14:textId="77777777" w:rsidR="008E4BEC" w:rsidRPr="00E305B4" w:rsidRDefault="008E4BEC" w:rsidP="000F099B">
            <w:pPr>
              <w:rPr>
                <w:rFonts w:asciiTheme="majorHAnsi" w:eastAsia="Times New Roman" w:hAnsiTheme="majorHAnsi" w:cstheme="majorHAnsi"/>
                <w:color w:val="000000"/>
                <w:sz w:val="16"/>
                <w:szCs w:val="16"/>
                <w:lang w:val="es-CO" w:eastAsia="es-CO"/>
              </w:rPr>
            </w:pPr>
          </w:p>
        </w:tc>
        <w:tc>
          <w:tcPr>
            <w:tcW w:w="1038" w:type="dxa"/>
            <w:shd w:val="clear" w:color="000000" w:fill="00B0F0"/>
            <w:noWrap/>
            <w:vAlign w:val="center"/>
            <w:hideMark/>
          </w:tcPr>
          <w:p w14:paraId="037DBEB6"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0A09F5B5"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60%</w:t>
            </w:r>
          </w:p>
        </w:tc>
        <w:tc>
          <w:tcPr>
            <w:tcW w:w="3782" w:type="dxa"/>
            <w:shd w:val="clear" w:color="auto" w:fill="auto"/>
            <w:vAlign w:val="center"/>
            <w:hideMark/>
          </w:tcPr>
          <w:p w14:paraId="3B23CCF6" w14:textId="77777777" w:rsidR="007F5968" w:rsidRDefault="007F5968" w:rsidP="000F099B">
            <w:pPr>
              <w:rPr>
                <w:rFonts w:asciiTheme="majorHAnsi" w:eastAsia="Times New Roman" w:hAnsiTheme="majorHAnsi" w:cstheme="majorHAnsi"/>
                <w:color w:val="000000"/>
                <w:sz w:val="16"/>
                <w:szCs w:val="16"/>
                <w:lang w:val="es-CO" w:eastAsia="es-CO"/>
              </w:rPr>
            </w:pPr>
            <w:r w:rsidRPr="008E4BEC">
              <w:rPr>
                <w:rFonts w:asciiTheme="majorHAnsi" w:eastAsia="Times New Roman" w:hAnsiTheme="majorHAnsi" w:cstheme="majorHAnsi"/>
                <w:b/>
                <w:bCs/>
                <w:color w:val="FF0000"/>
                <w:sz w:val="16"/>
                <w:szCs w:val="16"/>
                <w:lang w:val="es-CO" w:eastAsia="es-CO"/>
              </w:rPr>
              <w:t>Definir los planes necesarios para generar</w:t>
            </w:r>
            <w:r w:rsidRPr="008E4BEC">
              <w:rPr>
                <w:rFonts w:asciiTheme="majorHAnsi" w:eastAsia="Times New Roman" w:hAnsiTheme="majorHAnsi" w:cstheme="majorHAnsi"/>
                <w:color w:val="FF0000"/>
                <w:sz w:val="16"/>
                <w:szCs w:val="16"/>
                <w:lang w:val="es-CO" w:eastAsia="es-CO"/>
              </w:rPr>
              <w:t xml:space="preserve"> </w:t>
            </w:r>
            <w:r w:rsidRPr="00E305B4">
              <w:rPr>
                <w:rFonts w:asciiTheme="majorHAnsi" w:eastAsia="Times New Roman" w:hAnsiTheme="majorHAnsi" w:cstheme="majorHAnsi"/>
                <w:color w:val="000000"/>
                <w:sz w:val="16"/>
                <w:szCs w:val="16"/>
                <w:lang w:val="es-CO" w:eastAsia="es-CO"/>
              </w:rPr>
              <w:t>concientización y capacitación sobre la política de la seguridad de la información de la institución.</w:t>
            </w:r>
          </w:p>
          <w:p w14:paraId="677AD9A6" w14:textId="77777777" w:rsidR="008E4BEC" w:rsidRDefault="008E4BEC" w:rsidP="000F099B">
            <w:pPr>
              <w:rPr>
                <w:rFonts w:asciiTheme="majorHAnsi" w:eastAsia="Times New Roman" w:hAnsiTheme="majorHAnsi" w:cstheme="majorHAnsi"/>
                <w:color w:val="000000"/>
                <w:sz w:val="16"/>
                <w:szCs w:val="16"/>
                <w:lang w:val="es-CO" w:eastAsia="es-CO"/>
              </w:rPr>
            </w:pPr>
          </w:p>
          <w:p w14:paraId="6EFC9ECD" w14:textId="77777777" w:rsidR="008E4BEC" w:rsidRPr="00E305B4" w:rsidRDefault="008E4BEC" w:rsidP="000F099B">
            <w:pPr>
              <w:rPr>
                <w:rFonts w:asciiTheme="majorHAnsi" w:eastAsia="Times New Roman" w:hAnsiTheme="majorHAnsi" w:cstheme="majorHAnsi"/>
                <w:color w:val="000000"/>
                <w:sz w:val="16"/>
                <w:szCs w:val="16"/>
                <w:lang w:val="es-CO" w:eastAsia="es-CO"/>
              </w:rPr>
            </w:pPr>
          </w:p>
        </w:tc>
        <w:tc>
          <w:tcPr>
            <w:tcW w:w="1763" w:type="dxa"/>
          </w:tcPr>
          <w:p w14:paraId="6C651515" w14:textId="77777777" w:rsidR="007F5968" w:rsidRDefault="008E4BEC"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Plan de sensibilización</w:t>
            </w:r>
          </w:p>
          <w:p w14:paraId="7CE6B525" w14:textId="77777777" w:rsidR="008E4BEC" w:rsidRPr="00E305B4" w:rsidRDefault="008E4BEC"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Sensibilización de 2018 y 2019 riesgos</w:t>
            </w:r>
          </w:p>
        </w:tc>
      </w:tr>
      <w:tr w:rsidR="00274728" w:rsidRPr="00E305B4" w14:paraId="7D27274F" w14:textId="77777777" w:rsidTr="007F5968">
        <w:trPr>
          <w:trHeight w:val="20"/>
        </w:trPr>
        <w:tc>
          <w:tcPr>
            <w:tcW w:w="840" w:type="dxa"/>
            <w:shd w:val="clear" w:color="auto" w:fill="auto"/>
            <w:vAlign w:val="center"/>
            <w:hideMark/>
          </w:tcPr>
          <w:p w14:paraId="20D62CDD"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7.3 (b)</w:t>
            </w:r>
          </w:p>
        </w:tc>
        <w:tc>
          <w:tcPr>
            <w:tcW w:w="1854" w:type="dxa"/>
            <w:vMerge/>
            <w:vAlign w:val="center"/>
            <w:hideMark/>
          </w:tcPr>
          <w:p w14:paraId="5383DFAB"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0528849B"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su contribución a la eficacia del sistema de gestión de la seguridad de la información, incluyendo los beneficios de una mejora del desempeño de la seguridad de la información; y</w:t>
            </w:r>
          </w:p>
        </w:tc>
        <w:tc>
          <w:tcPr>
            <w:tcW w:w="1368" w:type="dxa"/>
            <w:shd w:val="clear" w:color="000000" w:fill="C00000"/>
            <w:vAlign w:val="center"/>
            <w:hideMark/>
          </w:tcPr>
          <w:p w14:paraId="7E73EDD8"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407878DF"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Los funcionarios y contratistas aun no tienen conciencia de su contribución a la eficacia del sistema de gestión de la seguridad de la información</w:t>
            </w:r>
          </w:p>
        </w:tc>
        <w:tc>
          <w:tcPr>
            <w:tcW w:w="1038" w:type="dxa"/>
            <w:shd w:val="clear" w:color="000000" w:fill="FF0000"/>
            <w:noWrap/>
            <w:vAlign w:val="center"/>
            <w:hideMark/>
          </w:tcPr>
          <w:p w14:paraId="68C1D129"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6E81FD0A" w14:textId="77777777" w:rsidR="007F5968" w:rsidRPr="00E305B4" w:rsidRDefault="008E4BEC"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20</w:t>
            </w:r>
            <w:r w:rsidR="007F5968"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0BD55F19"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8E4BEC">
              <w:rPr>
                <w:rFonts w:asciiTheme="majorHAnsi" w:eastAsia="Times New Roman" w:hAnsiTheme="majorHAnsi" w:cstheme="majorHAnsi"/>
                <w:color w:val="FF0000"/>
                <w:sz w:val="16"/>
                <w:szCs w:val="16"/>
                <w:lang w:val="es-CO" w:eastAsia="es-CO"/>
              </w:rPr>
              <w:t xml:space="preserve">Definir los planes necesarios para generar </w:t>
            </w:r>
            <w:r w:rsidRPr="00E305B4">
              <w:rPr>
                <w:rFonts w:asciiTheme="majorHAnsi" w:eastAsia="Times New Roman" w:hAnsiTheme="majorHAnsi" w:cstheme="majorHAnsi"/>
                <w:color w:val="000000"/>
                <w:sz w:val="16"/>
                <w:szCs w:val="16"/>
                <w:lang w:val="es-CO" w:eastAsia="es-CO"/>
              </w:rPr>
              <w:t>concientización y capacitación sobre la necesidad de la contribución de los funcionarios a la eficacia del sistema de gestión de la seguridad de la información, incluyendo los beneficios de una mejora del desempeño de la seguridad de la información;</w:t>
            </w:r>
          </w:p>
        </w:tc>
        <w:tc>
          <w:tcPr>
            <w:tcW w:w="1763" w:type="dxa"/>
          </w:tcPr>
          <w:p w14:paraId="13ADFC4E" w14:textId="77777777" w:rsidR="008E4BEC" w:rsidRDefault="008E4BEC" w:rsidP="008E4BEC">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Plan de sensibilización</w:t>
            </w:r>
          </w:p>
          <w:p w14:paraId="14B4F4FC" w14:textId="77777777" w:rsidR="007F5968" w:rsidRPr="00E305B4" w:rsidRDefault="008E4BEC" w:rsidP="008E4BEC">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Sensibilización de 2018 y 2019 riesgos</w:t>
            </w:r>
          </w:p>
        </w:tc>
      </w:tr>
      <w:tr w:rsidR="00274728" w:rsidRPr="00E305B4" w14:paraId="7A5C3E5A" w14:textId="77777777" w:rsidTr="007F5968">
        <w:trPr>
          <w:trHeight w:val="1506"/>
        </w:trPr>
        <w:tc>
          <w:tcPr>
            <w:tcW w:w="840" w:type="dxa"/>
            <w:shd w:val="clear" w:color="auto" w:fill="auto"/>
            <w:vAlign w:val="center"/>
            <w:hideMark/>
          </w:tcPr>
          <w:p w14:paraId="621BF1A4"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7.3 (c)</w:t>
            </w:r>
          </w:p>
        </w:tc>
        <w:tc>
          <w:tcPr>
            <w:tcW w:w="1854" w:type="dxa"/>
            <w:vMerge/>
            <w:vAlign w:val="center"/>
            <w:hideMark/>
          </w:tcPr>
          <w:p w14:paraId="651208CD"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7FE893B5"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las implicaciones de la no conformidad con los requisitos del sistema de gestión de la seguridad de la información.</w:t>
            </w:r>
          </w:p>
        </w:tc>
        <w:tc>
          <w:tcPr>
            <w:tcW w:w="1368" w:type="dxa"/>
            <w:shd w:val="clear" w:color="000000" w:fill="C00000"/>
            <w:vAlign w:val="center"/>
            <w:hideMark/>
          </w:tcPr>
          <w:p w14:paraId="187794E5"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3E97DEB2"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Los funcionarios y contratistas aun no tienen conciencia de las implicaciones que tiene la no conformidad de los requisitos del sistema de gestión de la seguridad de la información.</w:t>
            </w:r>
          </w:p>
        </w:tc>
        <w:tc>
          <w:tcPr>
            <w:tcW w:w="1038" w:type="dxa"/>
            <w:shd w:val="clear" w:color="000000" w:fill="FF0000"/>
            <w:noWrap/>
            <w:vAlign w:val="center"/>
            <w:hideMark/>
          </w:tcPr>
          <w:p w14:paraId="634733C5"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3D99F5FE" w14:textId="77777777" w:rsidR="007F5968" w:rsidRPr="00E305B4" w:rsidRDefault="008E4BEC"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20</w:t>
            </w:r>
            <w:r w:rsidR="007F5968"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567EDA8D"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Definir los planes necesarios para generar concientización y capacitación sobre las implicaciones de la no conformidad con los requisitos del sistema de gestión de la seguridad de la información.</w:t>
            </w:r>
          </w:p>
        </w:tc>
        <w:tc>
          <w:tcPr>
            <w:tcW w:w="1763" w:type="dxa"/>
          </w:tcPr>
          <w:p w14:paraId="5B9345C9" w14:textId="77777777" w:rsidR="008E4BEC" w:rsidRDefault="008E4BEC" w:rsidP="008E4BEC">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Plan de sensibilización</w:t>
            </w:r>
          </w:p>
          <w:p w14:paraId="3BE925CF" w14:textId="77777777" w:rsidR="007F5968" w:rsidRPr="00E305B4" w:rsidRDefault="008E4BEC" w:rsidP="008E4BEC">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Sensibilización de 2018 y 2019 riesgos</w:t>
            </w:r>
          </w:p>
        </w:tc>
      </w:tr>
      <w:tr w:rsidR="00BC0293" w:rsidRPr="00E305B4" w14:paraId="43318382" w14:textId="77777777" w:rsidTr="007F5968">
        <w:trPr>
          <w:trHeight w:val="20"/>
        </w:trPr>
        <w:tc>
          <w:tcPr>
            <w:tcW w:w="840" w:type="dxa"/>
            <w:shd w:val="clear" w:color="000000" w:fill="538DD5"/>
            <w:noWrap/>
            <w:vAlign w:val="center"/>
            <w:hideMark/>
          </w:tcPr>
          <w:p w14:paraId="3FD0FFD3"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7.4</w:t>
            </w:r>
          </w:p>
        </w:tc>
        <w:tc>
          <w:tcPr>
            <w:tcW w:w="10057" w:type="dxa"/>
            <w:gridSpan w:val="5"/>
            <w:shd w:val="clear" w:color="000000" w:fill="538DD5"/>
            <w:noWrap/>
            <w:vAlign w:val="center"/>
            <w:hideMark/>
          </w:tcPr>
          <w:p w14:paraId="4FF328AE"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Comunicación</w:t>
            </w:r>
          </w:p>
        </w:tc>
        <w:tc>
          <w:tcPr>
            <w:tcW w:w="850" w:type="dxa"/>
            <w:shd w:val="clear" w:color="000000" w:fill="538DD5"/>
            <w:noWrap/>
            <w:vAlign w:val="center"/>
            <w:hideMark/>
          </w:tcPr>
          <w:p w14:paraId="3E6C6BAF"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0%</w:t>
            </w:r>
          </w:p>
        </w:tc>
        <w:tc>
          <w:tcPr>
            <w:tcW w:w="3782" w:type="dxa"/>
            <w:shd w:val="clear" w:color="000000" w:fill="538DD5"/>
            <w:noWrap/>
            <w:vAlign w:val="center"/>
            <w:hideMark/>
          </w:tcPr>
          <w:p w14:paraId="606BF58F"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28B858C0"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1E8B204E" w14:textId="77777777" w:rsidTr="007F5968">
        <w:trPr>
          <w:trHeight w:val="20"/>
        </w:trPr>
        <w:tc>
          <w:tcPr>
            <w:tcW w:w="840" w:type="dxa"/>
            <w:shd w:val="clear" w:color="auto" w:fill="auto"/>
            <w:vAlign w:val="center"/>
            <w:hideMark/>
          </w:tcPr>
          <w:p w14:paraId="5D8EF02F"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7.4 (a)</w:t>
            </w:r>
          </w:p>
        </w:tc>
        <w:tc>
          <w:tcPr>
            <w:tcW w:w="1854" w:type="dxa"/>
            <w:vMerge w:val="restart"/>
            <w:shd w:val="clear" w:color="auto" w:fill="auto"/>
            <w:vAlign w:val="center"/>
            <w:hideMark/>
          </w:tcPr>
          <w:p w14:paraId="4FA132BC"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organización debe determinar la necesidad de comunicaciones internas y externas pertinentes al sistema de gestión de la seguridad de la información, que incluyan:</w:t>
            </w:r>
          </w:p>
        </w:tc>
        <w:tc>
          <w:tcPr>
            <w:tcW w:w="2551" w:type="dxa"/>
            <w:shd w:val="clear" w:color="auto" w:fill="auto"/>
            <w:vAlign w:val="center"/>
            <w:hideMark/>
          </w:tcPr>
          <w:p w14:paraId="76243334"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el contenido de la comunicación</w:t>
            </w:r>
          </w:p>
        </w:tc>
        <w:tc>
          <w:tcPr>
            <w:tcW w:w="1368" w:type="dxa"/>
            <w:shd w:val="clear" w:color="000000" w:fill="C00000"/>
            <w:vAlign w:val="center"/>
            <w:hideMark/>
          </w:tcPr>
          <w:p w14:paraId="65CD5B15"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122C24F3"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han enviado correos para sensibilizar al personal en seguridad de la información, pero no se cuenta con un plan formal de comunicaciones del sistema de gestión de seguridad de la información que contemple aspectos como: contenido, cuando comunicar, a quien comunicar, quien debe comunicar, y los procesos para llevar a cabo la comunicación</w:t>
            </w:r>
          </w:p>
        </w:tc>
        <w:tc>
          <w:tcPr>
            <w:tcW w:w="1038" w:type="dxa"/>
            <w:shd w:val="clear" w:color="000000" w:fill="FF0000"/>
            <w:noWrap/>
            <w:vAlign w:val="center"/>
            <w:hideMark/>
          </w:tcPr>
          <w:p w14:paraId="42923C78"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7F26984A" w14:textId="77777777" w:rsidR="007F5968" w:rsidRPr="00E305B4" w:rsidRDefault="008E4BEC"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20</w:t>
            </w:r>
            <w:r w:rsidR="007F5968"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06AD40C7"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debe definir un plan de comunicaciones donde se determine la necesidad de comunicaciones internas y externas pertinentes al sistema de gestión de la seguridad de la información, donde se establezca el contenido de cada comunicación, cuando comunicar, a quien comunicar, quien debe comunicar, proceso para llevar a cabo la comunicación</w:t>
            </w:r>
          </w:p>
        </w:tc>
        <w:tc>
          <w:tcPr>
            <w:tcW w:w="1763" w:type="dxa"/>
          </w:tcPr>
          <w:p w14:paraId="3F9AC95E" w14:textId="77777777" w:rsidR="008E4BEC" w:rsidRDefault="008E4BEC" w:rsidP="008E4BEC">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Plan de sensibilización</w:t>
            </w:r>
          </w:p>
          <w:p w14:paraId="302BE208" w14:textId="77777777" w:rsidR="007F5968" w:rsidRPr="00E305B4" w:rsidRDefault="008E4BEC" w:rsidP="008E4BEC">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Sensibilización de 2018 y 2019 riesgos</w:t>
            </w:r>
          </w:p>
        </w:tc>
      </w:tr>
      <w:tr w:rsidR="00274728" w:rsidRPr="00E305B4" w14:paraId="152C45C7" w14:textId="77777777" w:rsidTr="007F5968">
        <w:trPr>
          <w:trHeight w:val="20"/>
        </w:trPr>
        <w:tc>
          <w:tcPr>
            <w:tcW w:w="840" w:type="dxa"/>
            <w:shd w:val="clear" w:color="auto" w:fill="auto"/>
            <w:vAlign w:val="center"/>
            <w:hideMark/>
          </w:tcPr>
          <w:p w14:paraId="5A630A2E"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7.4 (b)</w:t>
            </w:r>
          </w:p>
        </w:tc>
        <w:tc>
          <w:tcPr>
            <w:tcW w:w="1854" w:type="dxa"/>
            <w:vMerge/>
            <w:vAlign w:val="center"/>
            <w:hideMark/>
          </w:tcPr>
          <w:p w14:paraId="248A693E"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6CF443E4"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cuando comunicar</w:t>
            </w:r>
          </w:p>
        </w:tc>
        <w:tc>
          <w:tcPr>
            <w:tcW w:w="1368" w:type="dxa"/>
            <w:shd w:val="clear" w:color="000000" w:fill="C00000"/>
            <w:vAlign w:val="center"/>
            <w:hideMark/>
          </w:tcPr>
          <w:p w14:paraId="71DD6FE5"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571A9DF3"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Se han enviado correos para sensibilizar al personal en seguridad de la información, pero no se cuenta con un plan formal de comunicaciones del sistema de gestión de seguridad de la información que contemple aspectos como: contenido, cuando comunicar, a quien comunicar, quien debe comunicar, y los procesos para llevar a cabo </w:t>
            </w:r>
            <w:r w:rsidRPr="00E305B4">
              <w:rPr>
                <w:rFonts w:asciiTheme="majorHAnsi" w:eastAsia="Times New Roman" w:hAnsiTheme="majorHAnsi" w:cstheme="majorHAnsi"/>
                <w:color w:val="000000"/>
                <w:sz w:val="16"/>
                <w:szCs w:val="16"/>
                <w:lang w:val="es-CO" w:eastAsia="es-CO"/>
              </w:rPr>
              <w:lastRenderedPageBreak/>
              <w:t>la comunicación</w:t>
            </w:r>
          </w:p>
        </w:tc>
        <w:tc>
          <w:tcPr>
            <w:tcW w:w="1038" w:type="dxa"/>
            <w:shd w:val="clear" w:color="000000" w:fill="FF0000"/>
            <w:noWrap/>
            <w:vAlign w:val="center"/>
            <w:hideMark/>
          </w:tcPr>
          <w:p w14:paraId="332A5390"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lastRenderedPageBreak/>
              <w:t>Inexistente</w:t>
            </w:r>
          </w:p>
        </w:tc>
        <w:tc>
          <w:tcPr>
            <w:tcW w:w="850" w:type="dxa"/>
            <w:shd w:val="clear" w:color="auto" w:fill="auto"/>
            <w:noWrap/>
            <w:vAlign w:val="center"/>
            <w:hideMark/>
          </w:tcPr>
          <w:p w14:paraId="79D47E72" w14:textId="77777777" w:rsidR="007F5968" w:rsidRPr="00E305B4" w:rsidRDefault="008E4BEC"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20</w:t>
            </w:r>
            <w:r w:rsidR="007F5968"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6803D206"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debe definir un plan de comunicaciones donde se determine la necesidad de comunicaciones internas y externas pertinentes al sistema de gestión de la seguridad de la información, donde se establezca el contenido de cada comunicación, cuando comunicar, a quien comunicar, quien debe comunicar, proceso para llevar a cabo la comunicación</w:t>
            </w:r>
          </w:p>
        </w:tc>
        <w:tc>
          <w:tcPr>
            <w:tcW w:w="1763" w:type="dxa"/>
          </w:tcPr>
          <w:p w14:paraId="759D1EB2" w14:textId="77777777" w:rsidR="008E4BEC" w:rsidRDefault="008E4BEC" w:rsidP="008E4BEC">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Plan de sensibilización</w:t>
            </w:r>
          </w:p>
          <w:p w14:paraId="27AF8FCC" w14:textId="77777777" w:rsidR="007F5968" w:rsidRPr="00E305B4" w:rsidRDefault="008E4BEC" w:rsidP="008E4BEC">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Sensibilización de 2018 y 2019 riesgos</w:t>
            </w:r>
          </w:p>
        </w:tc>
      </w:tr>
      <w:tr w:rsidR="00274728" w:rsidRPr="00E305B4" w14:paraId="0828AAE0" w14:textId="77777777" w:rsidTr="007F5968">
        <w:trPr>
          <w:trHeight w:val="20"/>
        </w:trPr>
        <w:tc>
          <w:tcPr>
            <w:tcW w:w="840" w:type="dxa"/>
            <w:shd w:val="clear" w:color="auto" w:fill="auto"/>
            <w:vAlign w:val="center"/>
            <w:hideMark/>
          </w:tcPr>
          <w:p w14:paraId="5E7D8D67"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7.4 (c)</w:t>
            </w:r>
          </w:p>
        </w:tc>
        <w:tc>
          <w:tcPr>
            <w:tcW w:w="1854" w:type="dxa"/>
            <w:vMerge/>
            <w:vAlign w:val="center"/>
            <w:hideMark/>
          </w:tcPr>
          <w:p w14:paraId="11A68568"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3C58AA38"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 quién comunicar</w:t>
            </w:r>
          </w:p>
        </w:tc>
        <w:tc>
          <w:tcPr>
            <w:tcW w:w="1368" w:type="dxa"/>
            <w:shd w:val="clear" w:color="000000" w:fill="C00000"/>
            <w:vAlign w:val="center"/>
            <w:hideMark/>
          </w:tcPr>
          <w:p w14:paraId="3086EC1A"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431C7F68"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han enviado correos para sensibilizar al personal en seguridad de la información, pero no se cuenta con un plan formal de comunicaciones del sistema de gestión de seguridad de la información que contemple aspectos como: contenido, cuando comunicar, a quien comunicar, quien debe comunicar, y los procesos para llevar a cabo la comunicación</w:t>
            </w:r>
          </w:p>
        </w:tc>
        <w:tc>
          <w:tcPr>
            <w:tcW w:w="1038" w:type="dxa"/>
            <w:shd w:val="clear" w:color="000000" w:fill="FF0000"/>
            <w:noWrap/>
            <w:vAlign w:val="center"/>
            <w:hideMark/>
          </w:tcPr>
          <w:p w14:paraId="37508A14"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27CDFE2E" w14:textId="77777777" w:rsidR="007F5968" w:rsidRPr="00E305B4" w:rsidRDefault="008E4BEC"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20</w:t>
            </w:r>
            <w:r w:rsidR="007F5968"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249CE72E"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debe definir un plan de comunicaciones donde se determine la necesidad de comunicaciones internas y externas pertinentes al sistema de gestión de la seguridad de la información, donde se establezca el contenido de cada comunicación, cuando comunicar, a quien comunicar, quien debe comunicar, proceso para llevar a cabo la comunicación</w:t>
            </w:r>
          </w:p>
        </w:tc>
        <w:tc>
          <w:tcPr>
            <w:tcW w:w="1763" w:type="dxa"/>
          </w:tcPr>
          <w:p w14:paraId="325D9997" w14:textId="77777777" w:rsidR="008E4BEC" w:rsidRDefault="008E4BEC" w:rsidP="008E4BEC">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Plan de sensibilización</w:t>
            </w:r>
          </w:p>
          <w:p w14:paraId="4BDA1371" w14:textId="77777777" w:rsidR="007F5968" w:rsidRPr="00E305B4" w:rsidRDefault="008E4BEC" w:rsidP="008E4BEC">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Sensibilización de 2018 y 2019 riesgos</w:t>
            </w:r>
          </w:p>
        </w:tc>
      </w:tr>
      <w:tr w:rsidR="00274728" w:rsidRPr="00E305B4" w14:paraId="7DF6E30B" w14:textId="77777777" w:rsidTr="007F5968">
        <w:trPr>
          <w:trHeight w:val="20"/>
        </w:trPr>
        <w:tc>
          <w:tcPr>
            <w:tcW w:w="840" w:type="dxa"/>
            <w:shd w:val="clear" w:color="auto" w:fill="auto"/>
            <w:vAlign w:val="center"/>
            <w:hideMark/>
          </w:tcPr>
          <w:p w14:paraId="1B2FF82B"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7.4 (d)</w:t>
            </w:r>
          </w:p>
        </w:tc>
        <w:tc>
          <w:tcPr>
            <w:tcW w:w="1854" w:type="dxa"/>
            <w:vMerge/>
            <w:vAlign w:val="center"/>
            <w:hideMark/>
          </w:tcPr>
          <w:p w14:paraId="1A504438"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1455CD79"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quién debe comunicar; y</w:t>
            </w:r>
          </w:p>
        </w:tc>
        <w:tc>
          <w:tcPr>
            <w:tcW w:w="1368" w:type="dxa"/>
            <w:shd w:val="clear" w:color="000000" w:fill="C00000"/>
            <w:vAlign w:val="center"/>
            <w:hideMark/>
          </w:tcPr>
          <w:p w14:paraId="3AB8461E"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4A66B85A"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han enviado correos para sensibilizar al personal en seguridad de la información, pero no se cuenta con un plan formal de comunicaciones del sistema de gestión de seguridad de la información que contemple aspectos como: contenido, cuando comunicar, a quien comunicar, quien debe comunicar, y los procesos para llevar a cabo la comunicación</w:t>
            </w:r>
          </w:p>
        </w:tc>
        <w:tc>
          <w:tcPr>
            <w:tcW w:w="1038" w:type="dxa"/>
            <w:shd w:val="clear" w:color="000000" w:fill="FF0000"/>
            <w:noWrap/>
            <w:vAlign w:val="center"/>
            <w:hideMark/>
          </w:tcPr>
          <w:p w14:paraId="61BB2B29"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6473B542" w14:textId="77777777" w:rsidR="007F5968" w:rsidRPr="00E305B4" w:rsidRDefault="008E4BEC"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20</w:t>
            </w:r>
            <w:r w:rsidR="007F5968"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45FD9E5C"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debe definir un plan de comunicaciones donde se determine la necesidad de comunicaciones internas y externas pertinentes al sistema de gestión de la seguridad de la información, donde se establezca el contenido de cada comunicación, cuando comunicar, a quien comunicar, quien debe comunicar, proceso para llevar a cabo la comunicación</w:t>
            </w:r>
          </w:p>
        </w:tc>
        <w:tc>
          <w:tcPr>
            <w:tcW w:w="1763" w:type="dxa"/>
          </w:tcPr>
          <w:p w14:paraId="2DB11327" w14:textId="77777777" w:rsidR="008E4BEC" w:rsidRDefault="008E4BEC" w:rsidP="008E4BEC">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Plan de sensibilización</w:t>
            </w:r>
          </w:p>
          <w:p w14:paraId="7D388FF0" w14:textId="77777777" w:rsidR="007F5968" w:rsidRPr="00E305B4" w:rsidRDefault="008E4BEC" w:rsidP="008E4BEC">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Sensibilización de 2018 y 2019 riesgos</w:t>
            </w:r>
          </w:p>
        </w:tc>
      </w:tr>
      <w:tr w:rsidR="00274728" w:rsidRPr="00E305B4" w14:paraId="28AF6432" w14:textId="77777777" w:rsidTr="007F5968">
        <w:trPr>
          <w:trHeight w:val="20"/>
        </w:trPr>
        <w:tc>
          <w:tcPr>
            <w:tcW w:w="840" w:type="dxa"/>
            <w:shd w:val="clear" w:color="auto" w:fill="auto"/>
            <w:vAlign w:val="center"/>
            <w:hideMark/>
          </w:tcPr>
          <w:p w14:paraId="03711CC1"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7.4 (e)</w:t>
            </w:r>
          </w:p>
        </w:tc>
        <w:tc>
          <w:tcPr>
            <w:tcW w:w="1854" w:type="dxa"/>
            <w:vMerge/>
            <w:vAlign w:val="center"/>
            <w:hideMark/>
          </w:tcPr>
          <w:p w14:paraId="2568C00D"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3E9C8572"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los procesos para llevar a cabo la comunicación.</w:t>
            </w:r>
          </w:p>
        </w:tc>
        <w:tc>
          <w:tcPr>
            <w:tcW w:w="1368" w:type="dxa"/>
            <w:shd w:val="clear" w:color="000000" w:fill="C00000"/>
            <w:vAlign w:val="center"/>
            <w:hideMark/>
          </w:tcPr>
          <w:p w14:paraId="15B82E46"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55D3EE53"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han enviado correos para sensibilizar al personal en seguridad de la información, pero no se cuenta con un plan formal de comunicaciones del sistema de gestión de seguridad de la información que contemple aspectos como: contenido, cuando comunicar, a quien comunicar, quien debe comunicar, y los procesos para llevar a cabo la comunicación</w:t>
            </w:r>
          </w:p>
        </w:tc>
        <w:tc>
          <w:tcPr>
            <w:tcW w:w="1038" w:type="dxa"/>
            <w:shd w:val="clear" w:color="000000" w:fill="FF0000"/>
            <w:noWrap/>
            <w:vAlign w:val="center"/>
            <w:hideMark/>
          </w:tcPr>
          <w:p w14:paraId="3E6AB726"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1F011435" w14:textId="77777777" w:rsidR="007F5968" w:rsidRPr="00E305B4" w:rsidRDefault="008E4BEC"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20</w:t>
            </w:r>
            <w:r w:rsidR="007F5968"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07710236"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debe definir un plan de comunicaciones donde se determine la necesidad de comunicaciones internas y externas pertinentes al sistema de gestión de la seguridad de la información, donde se establezca el contenido de cada comunicación, cuando comunicar, a quien comunicar, quien debe comunicar, proceso para llevar a cabo la comunicación</w:t>
            </w:r>
          </w:p>
        </w:tc>
        <w:tc>
          <w:tcPr>
            <w:tcW w:w="1763" w:type="dxa"/>
          </w:tcPr>
          <w:p w14:paraId="156E73A3" w14:textId="77777777" w:rsidR="008E4BEC" w:rsidRDefault="008E4BEC" w:rsidP="008E4BEC">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Plan de sensibilización</w:t>
            </w:r>
          </w:p>
          <w:p w14:paraId="4956F986" w14:textId="77777777" w:rsidR="007F5968" w:rsidRPr="00E305B4" w:rsidRDefault="008E4BEC" w:rsidP="008E4BEC">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Sensibilización de 2018 y 2019 riesgos</w:t>
            </w:r>
          </w:p>
        </w:tc>
      </w:tr>
      <w:tr w:rsidR="00BC0293" w:rsidRPr="00E305B4" w14:paraId="1E829BEC" w14:textId="77777777" w:rsidTr="007F5968">
        <w:trPr>
          <w:trHeight w:val="20"/>
        </w:trPr>
        <w:tc>
          <w:tcPr>
            <w:tcW w:w="840" w:type="dxa"/>
            <w:shd w:val="clear" w:color="000000" w:fill="538DD5"/>
            <w:noWrap/>
            <w:vAlign w:val="center"/>
            <w:hideMark/>
          </w:tcPr>
          <w:p w14:paraId="6BA395D2"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7.5</w:t>
            </w:r>
          </w:p>
        </w:tc>
        <w:tc>
          <w:tcPr>
            <w:tcW w:w="10057" w:type="dxa"/>
            <w:gridSpan w:val="5"/>
            <w:shd w:val="clear" w:color="000000" w:fill="538DD5"/>
            <w:noWrap/>
            <w:vAlign w:val="center"/>
            <w:hideMark/>
          </w:tcPr>
          <w:p w14:paraId="7DB79A50"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Información documentada</w:t>
            </w:r>
          </w:p>
        </w:tc>
        <w:tc>
          <w:tcPr>
            <w:tcW w:w="850" w:type="dxa"/>
            <w:shd w:val="clear" w:color="000000" w:fill="538DD5"/>
            <w:noWrap/>
            <w:vAlign w:val="center"/>
            <w:hideMark/>
          </w:tcPr>
          <w:p w14:paraId="07A7E72D"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53%</w:t>
            </w:r>
          </w:p>
        </w:tc>
        <w:tc>
          <w:tcPr>
            <w:tcW w:w="3782" w:type="dxa"/>
            <w:shd w:val="clear" w:color="000000" w:fill="538DD5"/>
            <w:noWrap/>
            <w:vAlign w:val="center"/>
            <w:hideMark/>
          </w:tcPr>
          <w:p w14:paraId="4F5C636B"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265ED0F2"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BC0293" w:rsidRPr="00E305B4" w14:paraId="77BD2B54" w14:textId="77777777" w:rsidTr="007F5968">
        <w:trPr>
          <w:trHeight w:val="20"/>
        </w:trPr>
        <w:tc>
          <w:tcPr>
            <w:tcW w:w="840" w:type="dxa"/>
            <w:shd w:val="clear" w:color="000000" w:fill="538DD5"/>
            <w:noWrap/>
            <w:vAlign w:val="center"/>
            <w:hideMark/>
          </w:tcPr>
          <w:p w14:paraId="13A47591"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7.5.1</w:t>
            </w:r>
          </w:p>
        </w:tc>
        <w:tc>
          <w:tcPr>
            <w:tcW w:w="10057" w:type="dxa"/>
            <w:gridSpan w:val="5"/>
            <w:shd w:val="clear" w:color="000000" w:fill="538DD5"/>
            <w:noWrap/>
            <w:vAlign w:val="center"/>
            <w:hideMark/>
          </w:tcPr>
          <w:p w14:paraId="273F046F"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Generalidades *consultar Nota en la norma</w:t>
            </w:r>
          </w:p>
        </w:tc>
        <w:tc>
          <w:tcPr>
            <w:tcW w:w="850" w:type="dxa"/>
            <w:shd w:val="clear" w:color="000000" w:fill="538DD5"/>
            <w:noWrap/>
            <w:vAlign w:val="center"/>
            <w:hideMark/>
          </w:tcPr>
          <w:p w14:paraId="3799D81D"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40%</w:t>
            </w:r>
          </w:p>
        </w:tc>
        <w:tc>
          <w:tcPr>
            <w:tcW w:w="3782" w:type="dxa"/>
            <w:shd w:val="clear" w:color="000000" w:fill="538DD5"/>
            <w:noWrap/>
            <w:vAlign w:val="center"/>
            <w:hideMark/>
          </w:tcPr>
          <w:p w14:paraId="24049672"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5F0C58F2"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69DF441D" w14:textId="77777777" w:rsidTr="007F5968">
        <w:trPr>
          <w:trHeight w:val="20"/>
        </w:trPr>
        <w:tc>
          <w:tcPr>
            <w:tcW w:w="840" w:type="dxa"/>
            <w:shd w:val="clear" w:color="auto" w:fill="auto"/>
            <w:vAlign w:val="center"/>
            <w:hideMark/>
          </w:tcPr>
          <w:p w14:paraId="2F34398A"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7.5.1 (a)</w:t>
            </w:r>
          </w:p>
        </w:tc>
        <w:tc>
          <w:tcPr>
            <w:tcW w:w="1854" w:type="dxa"/>
            <w:vMerge w:val="restart"/>
            <w:shd w:val="clear" w:color="auto" w:fill="auto"/>
            <w:vAlign w:val="center"/>
            <w:hideMark/>
          </w:tcPr>
          <w:p w14:paraId="01903F13"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El sistema de gestión de la seguridad de la información de la organización debe incluir:</w:t>
            </w:r>
          </w:p>
        </w:tc>
        <w:tc>
          <w:tcPr>
            <w:tcW w:w="2551" w:type="dxa"/>
            <w:shd w:val="clear" w:color="auto" w:fill="auto"/>
            <w:vAlign w:val="center"/>
            <w:hideMark/>
          </w:tcPr>
          <w:p w14:paraId="15D06A83"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información documentada requerida por esta Norma Internacional; y</w:t>
            </w:r>
          </w:p>
        </w:tc>
        <w:tc>
          <w:tcPr>
            <w:tcW w:w="1368" w:type="dxa"/>
            <w:shd w:val="clear" w:color="000000" w:fill="FFC000"/>
            <w:vAlign w:val="center"/>
            <w:hideMark/>
          </w:tcPr>
          <w:p w14:paraId="7792D650"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PARCIAL</w:t>
            </w:r>
          </w:p>
        </w:tc>
        <w:tc>
          <w:tcPr>
            <w:tcW w:w="3246" w:type="dxa"/>
            <w:shd w:val="clear" w:color="auto" w:fill="auto"/>
            <w:vAlign w:val="center"/>
            <w:hideMark/>
          </w:tcPr>
          <w:p w14:paraId="5734C5A4"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Como parte del sistema se cuenta con la Resolución </w:t>
            </w:r>
            <w:r w:rsidR="008E4BEC">
              <w:rPr>
                <w:rFonts w:asciiTheme="majorHAnsi" w:eastAsia="Times New Roman" w:hAnsiTheme="majorHAnsi" w:cstheme="majorHAnsi"/>
                <w:color w:val="000000"/>
                <w:sz w:val="16"/>
                <w:szCs w:val="16"/>
                <w:lang w:val="es-CO" w:eastAsia="es-CO"/>
              </w:rPr>
              <w:t>0186</w:t>
            </w:r>
            <w:r w:rsidRPr="00E305B4">
              <w:rPr>
                <w:rFonts w:asciiTheme="majorHAnsi" w:eastAsia="Times New Roman" w:hAnsiTheme="majorHAnsi" w:cstheme="majorHAnsi"/>
                <w:color w:val="000000"/>
                <w:sz w:val="16"/>
                <w:szCs w:val="16"/>
                <w:lang w:val="es-CO" w:eastAsia="es-CO"/>
              </w:rPr>
              <w:t xml:space="preserve"> de 201</w:t>
            </w:r>
            <w:r w:rsidR="008E4BEC">
              <w:rPr>
                <w:rFonts w:asciiTheme="majorHAnsi" w:eastAsia="Times New Roman" w:hAnsiTheme="majorHAnsi" w:cstheme="majorHAnsi"/>
                <w:color w:val="000000"/>
                <w:sz w:val="16"/>
                <w:szCs w:val="16"/>
                <w:lang w:val="es-CO" w:eastAsia="es-CO"/>
              </w:rPr>
              <w:t>9</w:t>
            </w:r>
            <w:r w:rsidRPr="00E305B4">
              <w:rPr>
                <w:rFonts w:asciiTheme="majorHAnsi" w:eastAsia="Times New Roman" w:hAnsiTheme="majorHAnsi" w:cstheme="majorHAnsi"/>
                <w:color w:val="000000"/>
                <w:sz w:val="16"/>
                <w:szCs w:val="16"/>
                <w:lang w:val="es-CO" w:eastAsia="es-CO"/>
              </w:rPr>
              <w:t xml:space="preserve"> y algunos procedimientos que deben ser actualizados</w:t>
            </w:r>
          </w:p>
        </w:tc>
        <w:tc>
          <w:tcPr>
            <w:tcW w:w="1038" w:type="dxa"/>
            <w:shd w:val="clear" w:color="000000" w:fill="FFFF00"/>
            <w:noWrap/>
            <w:vAlign w:val="center"/>
            <w:hideMark/>
          </w:tcPr>
          <w:p w14:paraId="1E8F0F81"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Repetible</w:t>
            </w:r>
          </w:p>
        </w:tc>
        <w:tc>
          <w:tcPr>
            <w:tcW w:w="850" w:type="dxa"/>
            <w:shd w:val="clear" w:color="auto" w:fill="auto"/>
            <w:noWrap/>
            <w:vAlign w:val="center"/>
            <w:hideMark/>
          </w:tcPr>
          <w:p w14:paraId="7152830E"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40%</w:t>
            </w:r>
          </w:p>
        </w:tc>
        <w:tc>
          <w:tcPr>
            <w:tcW w:w="3782" w:type="dxa"/>
            <w:shd w:val="clear" w:color="auto" w:fill="auto"/>
            <w:vAlign w:val="center"/>
            <w:hideMark/>
          </w:tcPr>
          <w:p w14:paraId="057A9CF6"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Información documentada requerida por esta norma:</w:t>
            </w:r>
            <w:r w:rsidRPr="00E305B4">
              <w:rPr>
                <w:rFonts w:asciiTheme="majorHAnsi" w:eastAsia="Times New Roman" w:hAnsiTheme="majorHAnsi" w:cstheme="majorHAnsi"/>
                <w:color w:val="000000"/>
                <w:sz w:val="16"/>
                <w:szCs w:val="16"/>
                <w:lang w:val="es-CO" w:eastAsia="es-CO"/>
              </w:rPr>
              <w:br/>
            </w:r>
            <w:r w:rsidRPr="00E305B4">
              <w:rPr>
                <w:rFonts w:asciiTheme="majorHAnsi" w:eastAsia="Times New Roman" w:hAnsiTheme="majorHAnsi" w:cstheme="majorHAnsi"/>
                <w:color w:val="000000"/>
                <w:sz w:val="16"/>
                <w:szCs w:val="16"/>
                <w:lang w:val="es-CO" w:eastAsia="es-CO"/>
              </w:rPr>
              <w:br/>
              <w:t xml:space="preserve">* Resolución </w:t>
            </w:r>
            <w:r w:rsidR="008E4BEC">
              <w:rPr>
                <w:rFonts w:asciiTheme="majorHAnsi" w:eastAsia="Times New Roman" w:hAnsiTheme="majorHAnsi" w:cstheme="majorHAnsi"/>
                <w:color w:val="000000"/>
                <w:sz w:val="16"/>
                <w:szCs w:val="16"/>
                <w:lang w:val="es-CO" w:eastAsia="es-CO"/>
              </w:rPr>
              <w:t>0186</w:t>
            </w:r>
            <w:r w:rsidRPr="00E305B4">
              <w:rPr>
                <w:rFonts w:asciiTheme="majorHAnsi" w:eastAsia="Times New Roman" w:hAnsiTheme="majorHAnsi" w:cstheme="majorHAnsi"/>
                <w:color w:val="000000"/>
                <w:sz w:val="16"/>
                <w:szCs w:val="16"/>
                <w:lang w:val="es-CO" w:eastAsia="es-CO"/>
              </w:rPr>
              <w:t xml:space="preserve"> de 201</w:t>
            </w:r>
            <w:r w:rsidR="008E4BEC">
              <w:rPr>
                <w:rFonts w:asciiTheme="majorHAnsi" w:eastAsia="Times New Roman" w:hAnsiTheme="majorHAnsi" w:cstheme="majorHAnsi"/>
                <w:color w:val="000000"/>
                <w:sz w:val="16"/>
                <w:szCs w:val="16"/>
                <w:lang w:val="es-CO" w:eastAsia="es-CO"/>
              </w:rPr>
              <w:t>9</w:t>
            </w:r>
            <w:r w:rsidRPr="00E305B4">
              <w:rPr>
                <w:rFonts w:asciiTheme="majorHAnsi" w:eastAsia="Times New Roman" w:hAnsiTheme="majorHAnsi" w:cstheme="majorHAnsi"/>
                <w:color w:val="000000"/>
                <w:sz w:val="16"/>
                <w:szCs w:val="16"/>
                <w:lang w:val="es-CO" w:eastAsia="es-CO"/>
              </w:rPr>
              <w:t xml:space="preserve"> actualizada</w:t>
            </w:r>
            <w:r w:rsidRPr="00E305B4">
              <w:rPr>
                <w:rFonts w:asciiTheme="majorHAnsi" w:eastAsia="Times New Roman" w:hAnsiTheme="majorHAnsi" w:cstheme="majorHAnsi"/>
                <w:color w:val="000000"/>
                <w:sz w:val="16"/>
                <w:szCs w:val="16"/>
                <w:lang w:val="es-CO" w:eastAsia="es-CO"/>
              </w:rPr>
              <w:br/>
              <w:t>* Manual del sistema integrado de gestión actualizado</w:t>
            </w:r>
            <w:r w:rsidRPr="00E305B4">
              <w:rPr>
                <w:rFonts w:asciiTheme="majorHAnsi" w:eastAsia="Times New Roman" w:hAnsiTheme="majorHAnsi" w:cstheme="majorHAnsi"/>
                <w:color w:val="000000"/>
                <w:sz w:val="16"/>
                <w:szCs w:val="16"/>
                <w:lang w:val="es-CO" w:eastAsia="es-CO"/>
              </w:rPr>
              <w:br/>
              <w:t xml:space="preserve">* Análisis de riesgos de seguridad de la información </w:t>
            </w:r>
            <w:r w:rsidRPr="00E305B4">
              <w:rPr>
                <w:rFonts w:asciiTheme="majorHAnsi" w:eastAsia="Times New Roman" w:hAnsiTheme="majorHAnsi" w:cstheme="majorHAnsi"/>
                <w:color w:val="000000"/>
                <w:sz w:val="16"/>
                <w:szCs w:val="16"/>
                <w:lang w:val="es-CO" w:eastAsia="es-CO"/>
              </w:rPr>
              <w:br/>
              <w:t>* Declaración de aplicabilidad</w:t>
            </w:r>
            <w:r w:rsidRPr="00E305B4">
              <w:rPr>
                <w:rFonts w:asciiTheme="majorHAnsi" w:eastAsia="Times New Roman" w:hAnsiTheme="majorHAnsi" w:cstheme="majorHAnsi"/>
                <w:color w:val="000000"/>
                <w:sz w:val="16"/>
                <w:szCs w:val="16"/>
                <w:lang w:val="es-CO" w:eastAsia="es-CO"/>
              </w:rPr>
              <w:br/>
              <w:t>* Plan de tratamiento de riesgos de la seguridad de la información.</w:t>
            </w:r>
            <w:r w:rsidRPr="00E305B4">
              <w:rPr>
                <w:rFonts w:asciiTheme="majorHAnsi" w:eastAsia="Times New Roman" w:hAnsiTheme="majorHAnsi" w:cstheme="majorHAnsi"/>
                <w:color w:val="000000"/>
                <w:sz w:val="16"/>
                <w:szCs w:val="16"/>
                <w:lang w:val="es-CO" w:eastAsia="es-CO"/>
              </w:rPr>
              <w:br/>
              <w:t>* Plan de concientización y capacitación sobre la política de la seguridad de la información de la institución.</w:t>
            </w:r>
            <w:r w:rsidRPr="00E305B4">
              <w:rPr>
                <w:rFonts w:asciiTheme="majorHAnsi" w:eastAsia="Times New Roman" w:hAnsiTheme="majorHAnsi" w:cstheme="majorHAnsi"/>
                <w:color w:val="000000"/>
                <w:sz w:val="16"/>
                <w:szCs w:val="16"/>
                <w:lang w:val="es-CO" w:eastAsia="es-CO"/>
              </w:rPr>
              <w:br/>
            </w:r>
            <w:r w:rsidRPr="00E305B4">
              <w:rPr>
                <w:rFonts w:asciiTheme="majorHAnsi" w:eastAsia="Times New Roman" w:hAnsiTheme="majorHAnsi" w:cstheme="majorHAnsi"/>
                <w:color w:val="000000"/>
                <w:sz w:val="16"/>
                <w:szCs w:val="16"/>
                <w:lang w:val="es-CO" w:eastAsia="es-CO"/>
              </w:rPr>
              <w:lastRenderedPageBreak/>
              <w:t>* Plan de comunicaciones</w:t>
            </w:r>
            <w:r w:rsidRPr="00E305B4">
              <w:rPr>
                <w:rFonts w:asciiTheme="majorHAnsi" w:eastAsia="Times New Roman" w:hAnsiTheme="majorHAnsi" w:cstheme="majorHAnsi"/>
                <w:color w:val="000000"/>
                <w:sz w:val="16"/>
                <w:szCs w:val="16"/>
                <w:lang w:val="es-CO" w:eastAsia="es-CO"/>
              </w:rPr>
              <w:br/>
              <w:t>* Manual de políticas de seguridad de la información</w:t>
            </w:r>
            <w:r w:rsidRPr="00E305B4">
              <w:rPr>
                <w:rFonts w:asciiTheme="majorHAnsi" w:eastAsia="Times New Roman" w:hAnsiTheme="majorHAnsi" w:cstheme="majorHAnsi"/>
                <w:color w:val="000000"/>
                <w:sz w:val="16"/>
                <w:szCs w:val="16"/>
                <w:lang w:val="es-CO" w:eastAsia="es-CO"/>
              </w:rPr>
              <w:br/>
              <w:t>* Procedimientos de seguridad de la información</w:t>
            </w:r>
            <w:r w:rsidRPr="00E305B4">
              <w:rPr>
                <w:rFonts w:asciiTheme="majorHAnsi" w:eastAsia="Times New Roman" w:hAnsiTheme="majorHAnsi" w:cstheme="majorHAnsi"/>
                <w:color w:val="000000"/>
                <w:sz w:val="16"/>
                <w:szCs w:val="16"/>
                <w:lang w:val="es-CO" w:eastAsia="es-CO"/>
              </w:rPr>
              <w:br/>
              <w:t>* Manual de protección de datos personales</w:t>
            </w:r>
            <w:r w:rsidRPr="00E305B4">
              <w:rPr>
                <w:rFonts w:asciiTheme="majorHAnsi" w:eastAsia="Times New Roman" w:hAnsiTheme="majorHAnsi" w:cstheme="majorHAnsi"/>
                <w:color w:val="000000"/>
                <w:sz w:val="16"/>
                <w:szCs w:val="16"/>
                <w:lang w:val="es-CO" w:eastAsia="es-CO"/>
              </w:rPr>
              <w:br/>
              <w:t>* Procedimientos de datos personales</w:t>
            </w:r>
          </w:p>
        </w:tc>
        <w:tc>
          <w:tcPr>
            <w:tcW w:w="1763" w:type="dxa"/>
          </w:tcPr>
          <w:p w14:paraId="4BE439FF" w14:textId="77777777" w:rsidR="007F5968" w:rsidRDefault="008E4BEC"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lastRenderedPageBreak/>
              <w:t>Actualización de Análisis de riesgos</w:t>
            </w:r>
          </w:p>
          <w:p w14:paraId="0D91C10F" w14:textId="77777777" w:rsidR="008E4BEC" w:rsidRDefault="008E4BEC" w:rsidP="000F099B">
            <w:pPr>
              <w:rPr>
                <w:rFonts w:asciiTheme="majorHAnsi" w:eastAsia="Times New Roman" w:hAnsiTheme="majorHAnsi" w:cstheme="majorHAnsi"/>
                <w:color w:val="000000"/>
                <w:sz w:val="16"/>
                <w:szCs w:val="16"/>
                <w:lang w:val="es-CO" w:eastAsia="es-CO"/>
              </w:rPr>
            </w:pPr>
          </w:p>
          <w:p w14:paraId="2BA812A0" w14:textId="77777777" w:rsidR="008E4BEC" w:rsidRPr="00E305B4" w:rsidRDefault="008E4BEC"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Herramienta de riesgos</w:t>
            </w:r>
          </w:p>
        </w:tc>
      </w:tr>
      <w:tr w:rsidR="00274728" w:rsidRPr="00E305B4" w14:paraId="6E4C7D3E" w14:textId="77777777" w:rsidTr="007F5968">
        <w:trPr>
          <w:trHeight w:val="20"/>
        </w:trPr>
        <w:tc>
          <w:tcPr>
            <w:tcW w:w="840" w:type="dxa"/>
            <w:shd w:val="clear" w:color="auto" w:fill="auto"/>
            <w:vAlign w:val="center"/>
            <w:hideMark/>
          </w:tcPr>
          <w:p w14:paraId="3544EB05"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7.5.1 (b)</w:t>
            </w:r>
          </w:p>
        </w:tc>
        <w:tc>
          <w:tcPr>
            <w:tcW w:w="1854" w:type="dxa"/>
            <w:vMerge/>
            <w:vAlign w:val="center"/>
            <w:hideMark/>
          </w:tcPr>
          <w:p w14:paraId="2FF8FA88"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7DAFF377"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información documentada que la organización ha determinado que es necesaria para la eficacia del sistema de gestión de la seguridad de la información.</w:t>
            </w:r>
          </w:p>
        </w:tc>
        <w:tc>
          <w:tcPr>
            <w:tcW w:w="1368" w:type="dxa"/>
            <w:shd w:val="clear" w:color="000000" w:fill="FFC000"/>
            <w:vAlign w:val="center"/>
            <w:hideMark/>
          </w:tcPr>
          <w:p w14:paraId="621C280B"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PARCIAL</w:t>
            </w:r>
          </w:p>
        </w:tc>
        <w:tc>
          <w:tcPr>
            <w:tcW w:w="3246" w:type="dxa"/>
            <w:shd w:val="clear" w:color="auto" w:fill="auto"/>
            <w:vAlign w:val="center"/>
            <w:hideMark/>
          </w:tcPr>
          <w:p w14:paraId="6D392C19" w14:textId="77777777" w:rsidR="007F5968" w:rsidRPr="00E305B4" w:rsidRDefault="008E4BEC"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Como parte del sistema se cuenta con la Resolución </w:t>
            </w:r>
            <w:r>
              <w:rPr>
                <w:rFonts w:asciiTheme="majorHAnsi" w:eastAsia="Times New Roman" w:hAnsiTheme="majorHAnsi" w:cstheme="majorHAnsi"/>
                <w:color w:val="000000"/>
                <w:sz w:val="16"/>
                <w:szCs w:val="16"/>
                <w:lang w:val="es-CO" w:eastAsia="es-CO"/>
              </w:rPr>
              <w:t>0186</w:t>
            </w:r>
            <w:r w:rsidRPr="00E305B4">
              <w:rPr>
                <w:rFonts w:asciiTheme="majorHAnsi" w:eastAsia="Times New Roman" w:hAnsiTheme="majorHAnsi" w:cstheme="majorHAnsi"/>
                <w:color w:val="000000"/>
                <w:sz w:val="16"/>
                <w:szCs w:val="16"/>
                <w:lang w:val="es-CO" w:eastAsia="es-CO"/>
              </w:rPr>
              <w:t xml:space="preserve"> de 201</w:t>
            </w:r>
            <w:r>
              <w:rPr>
                <w:rFonts w:asciiTheme="majorHAnsi" w:eastAsia="Times New Roman" w:hAnsiTheme="majorHAnsi" w:cstheme="majorHAnsi"/>
                <w:color w:val="000000"/>
                <w:sz w:val="16"/>
                <w:szCs w:val="16"/>
                <w:lang w:val="es-CO" w:eastAsia="es-CO"/>
              </w:rPr>
              <w:t>9</w:t>
            </w:r>
            <w:r w:rsidRPr="00E305B4">
              <w:rPr>
                <w:rFonts w:asciiTheme="majorHAnsi" w:eastAsia="Times New Roman" w:hAnsiTheme="majorHAnsi" w:cstheme="majorHAnsi"/>
                <w:color w:val="000000"/>
                <w:sz w:val="16"/>
                <w:szCs w:val="16"/>
                <w:lang w:val="es-CO" w:eastAsia="es-CO"/>
              </w:rPr>
              <w:t xml:space="preserve"> </w:t>
            </w:r>
            <w:r w:rsidR="007F5968" w:rsidRPr="00E305B4">
              <w:rPr>
                <w:rFonts w:asciiTheme="majorHAnsi" w:eastAsia="Times New Roman" w:hAnsiTheme="majorHAnsi" w:cstheme="majorHAnsi"/>
                <w:color w:val="000000"/>
                <w:sz w:val="16"/>
                <w:szCs w:val="16"/>
                <w:lang w:val="es-CO" w:eastAsia="es-CO"/>
              </w:rPr>
              <w:t>y algunos procedimientos que deben ser actualizados</w:t>
            </w:r>
          </w:p>
        </w:tc>
        <w:tc>
          <w:tcPr>
            <w:tcW w:w="1038" w:type="dxa"/>
            <w:shd w:val="clear" w:color="000000" w:fill="FFFF00"/>
            <w:noWrap/>
            <w:vAlign w:val="center"/>
            <w:hideMark/>
          </w:tcPr>
          <w:p w14:paraId="455DAFD2"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Repetible</w:t>
            </w:r>
          </w:p>
        </w:tc>
        <w:tc>
          <w:tcPr>
            <w:tcW w:w="850" w:type="dxa"/>
            <w:shd w:val="clear" w:color="auto" w:fill="auto"/>
            <w:noWrap/>
            <w:vAlign w:val="center"/>
            <w:hideMark/>
          </w:tcPr>
          <w:p w14:paraId="362EE521"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40%</w:t>
            </w:r>
          </w:p>
        </w:tc>
        <w:tc>
          <w:tcPr>
            <w:tcW w:w="3782" w:type="dxa"/>
            <w:shd w:val="clear" w:color="auto" w:fill="auto"/>
            <w:vAlign w:val="center"/>
            <w:hideMark/>
          </w:tcPr>
          <w:p w14:paraId="4018F4A9"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Información documentada requerida por esta norma:</w:t>
            </w:r>
            <w:r w:rsidRPr="00E305B4">
              <w:rPr>
                <w:rFonts w:asciiTheme="majorHAnsi" w:eastAsia="Times New Roman" w:hAnsiTheme="majorHAnsi" w:cstheme="majorHAnsi"/>
                <w:color w:val="000000"/>
                <w:sz w:val="16"/>
                <w:szCs w:val="16"/>
                <w:lang w:val="es-CO" w:eastAsia="es-CO"/>
              </w:rPr>
              <w:br/>
            </w:r>
            <w:r w:rsidRPr="00E305B4">
              <w:rPr>
                <w:rFonts w:asciiTheme="majorHAnsi" w:eastAsia="Times New Roman" w:hAnsiTheme="majorHAnsi" w:cstheme="majorHAnsi"/>
                <w:color w:val="000000"/>
                <w:sz w:val="16"/>
                <w:szCs w:val="16"/>
                <w:lang w:val="es-CO" w:eastAsia="es-CO"/>
              </w:rPr>
              <w:br/>
              <w:t xml:space="preserve"> </w:t>
            </w:r>
            <w:r w:rsidR="008E4BEC" w:rsidRPr="00E305B4">
              <w:rPr>
                <w:rFonts w:asciiTheme="majorHAnsi" w:eastAsia="Times New Roman" w:hAnsiTheme="majorHAnsi" w:cstheme="majorHAnsi"/>
                <w:color w:val="000000"/>
                <w:sz w:val="16"/>
                <w:szCs w:val="16"/>
                <w:lang w:val="es-CO" w:eastAsia="es-CO"/>
              </w:rPr>
              <w:t xml:space="preserve">* Resolución </w:t>
            </w:r>
            <w:r w:rsidR="008E4BEC">
              <w:rPr>
                <w:rFonts w:asciiTheme="majorHAnsi" w:eastAsia="Times New Roman" w:hAnsiTheme="majorHAnsi" w:cstheme="majorHAnsi"/>
                <w:color w:val="000000"/>
                <w:sz w:val="16"/>
                <w:szCs w:val="16"/>
                <w:lang w:val="es-CO" w:eastAsia="es-CO"/>
              </w:rPr>
              <w:t>0186</w:t>
            </w:r>
            <w:r w:rsidR="008E4BEC" w:rsidRPr="00E305B4">
              <w:rPr>
                <w:rFonts w:asciiTheme="majorHAnsi" w:eastAsia="Times New Roman" w:hAnsiTheme="majorHAnsi" w:cstheme="majorHAnsi"/>
                <w:color w:val="000000"/>
                <w:sz w:val="16"/>
                <w:szCs w:val="16"/>
                <w:lang w:val="es-CO" w:eastAsia="es-CO"/>
              </w:rPr>
              <w:t xml:space="preserve"> de 201</w:t>
            </w:r>
            <w:r w:rsidR="008E4BEC">
              <w:rPr>
                <w:rFonts w:asciiTheme="majorHAnsi" w:eastAsia="Times New Roman" w:hAnsiTheme="majorHAnsi" w:cstheme="majorHAnsi"/>
                <w:color w:val="000000"/>
                <w:sz w:val="16"/>
                <w:szCs w:val="16"/>
                <w:lang w:val="es-CO" w:eastAsia="es-CO"/>
              </w:rPr>
              <w:t>9</w:t>
            </w:r>
            <w:r w:rsidR="008E4BEC" w:rsidRPr="00E305B4">
              <w:rPr>
                <w:rFonts w:asciiTheme="majorHAnsi" w:eastAsia="Times New Roman" w:hAnsiTheme="majorHAnsi" w:cstheme="majorHAnsi"/>
                <w:color w:val="000000"/>
                <w:sz w:val="16"/>
                <w:szCs w:val="16"/>
                <w:lang w:val="es-CO" w:eastAsia="es-CO"/>
              </w:rPr>
              <w:t xml:space="preserve"> actualizada</w:t>
            </w:r>
            <w:r w:rsidR="008E4BEC" w:rsidRPr="00E305B4">
              <w:rPr>
                <w:rFonts w:asciiTheme="majorHAnsi" w:eastAsia="Times New Roman" w:hAnsiTheme="majorHAnsi" w:cstheme="majorHAnsi"/>
                <w:color w:val="000000"/>
                <w:sz w:val="16"/>
                <w:szCs w:val="16"/>
                <w:lang w:val="es-CO" w:eastAsia="es-CO"/>
              </w:rPr>
              <w:br/>
            </w:r>
            <w:r w:rsidRPr="00E305B4">
              <w:rPr>
                <w:rFonts w:asciiTheme="majorHAnsi" w:eastAsia="Times New Roman" w:hAnsiTheme="majorHAnsi" w:cstheme="majorHAnsi"/>
                <w:color w:val="000000"/>
                <w:sz w:val="16"/>
                <w:szCs w:val="16"/>
                <w:lang w:val="es-CO" w:eastAsia="es-CO"/>
              </w:rPr>
              <w:t>* Manual del sistema integrado de gestión actualizado</w:t>
            </w:r>
            <w:r w:rsidRPr="00E305B4">
              <w:rPr>
                <w:rFonts w:asciiTheme="majorHAnsi" w:eastAsia="Times New Roman" w:hAnsiTheme="majorHAnsi" w:cstheme="majorHAnsi"/>
                <w:color w:val="000000"/>
                <w:sz w:val="16"/>
                <w:szCs w:val="16"/>
                <w:lang w:val="es-CO" w:eastAsia="es-CO"/>
              </w:rPr>
              <w:br/>
              <w:t xml:space="preserve">* Análisis de riesgos de seguridad de la información </w:t>
            </w:r>
            <w:r w:rsidRPr="00E305B4">
              <w:rPr>
                <w:rFonts w:asciiTheme="majorHAnsi" w:eastAsia="Times New Roman" w:hAnsiTheme="majorHAnsi" w:cstheme="majorHAnsi"/>
                <w:color w:val="000000"/>
                <w:sz w:val="16"/>
                <w:szCs w:val="16"/>
                <w:lang w:val="es-CO" w:eastAsia="es-CO"/>
              </w:rPr>
              <w:br/>
              <w:t>* Declaración de aplicabilidad</w:t>
            </w:r>
            <w:r w:rsidRPr="00E305B4">
              <w:rPr>
                <w:rFonts w:asciiTheme="majorHAnsi" w:eastAsia="Times New Roman" w:hAnsiTheme="majorHAnsi" w:cstheme="majorHAnsi"/>
                <w:color w:val="000000"/>
                <w:sz w:val="16"/>
                <w:szCs w:val="16"/>
                <w:lang w:val="es-CO" w:eastAsia="es-CO"/>
              </w:rPr>
              <w:br/>
              <w:t>* Plan de tratamiento de riesgos de la seguridad de la información.</w:t>
            </w:r>
            <w:r w:rsidRPr="00E305B4">
              <w:rPr>
                <w:rFonts w:asciiTheme="majorHAnsi" w:eastAsia="Times New Roman" w:hAnsiTheme="majorHAnsi" w:cstheme="majorHAnsi"/>
                <w:color w:val="000000"/>
                <w:sz w:val="16"/>
                <w:szCs w:val="16"/>
                <w:lang w:val="es-CO" w:eastAsia="es-CO"/>
              </w:rPr>
              <w:br/>
              <w:t>* Plan de concientización y capacitación sobre la política de la seguridad de la información de la institución.</w:t>
            </w:r>
            <w:r w:rsidRPr="00E305B4">
              <w:rPr>
                <w:rFonts w:asciiTheme="majorHAnsi" w:eastAsia="Times New Roman" w:hAnsiTheme="majorHAnsi" w:cstheme="majorHAnsi"/>
                <w:color w:val="000000"/>
                <w:sz w:val="16"/>
                <w:szCs w:val="16"/>
                <w:lang w:val="es-CO" w:eastAsia="es-CO"/>
              </w:rPr>
              <w:br/>
              <w:t>* Plan de comunicaciones</w:t>
            </w:r>
            <w:r w:rsidRPr="00E305B4">
              <w:rPr>
                <w:rFonts w:asciiTheme="majorHAnsi" w:eastAsia="Times New Roman" w:hAnsiTheme="majorHAnsi" w:cstheme="majorHAnsi"/>
                <w:color w:val="000000"/>
                <w:sz w:val="16"/>
                <w:szCs w:val="16"/>
                <w:lang w:val="es-CO" w:eastAsia="es-CO"/>
              </w:rPr>
              <w:br/>
              <w:t>* Manual de políticas de seguridad de la información</w:t>
            </w:r>
            <w:r w:rsidRPr="00E305B4">
              <w:rPr>
                <w:rFonts w:asciiTheme="majorHAnsi" w:eastAsia="Times New Roman" w:hAnsiTheme="majorHAnsi" w:cstheme="majorHAnsi"/>
                <w:color w:val="000000"/>
                <w:sz w:val="16"/>
                <w:szCs w:val="16"/>
                <w:lang w:val="es-CO" w:eastAsia="es-CO"/>
              </w:rPr>
              <w:br/>
              <w:t>* Procedimientos de seguridad de la información</w:t>
            </w:r>
            <w:r w:rsidRPr="00E305B4">
              <w:rPr>
                <w:rFonts w:asciiTheme="majorHAnsi" w:eastAsia="Times New Roman" w:hAnsiTheme="majorHAnsi" w:cstheme="majorHAnsi"/>
                <w:color w:val="000000"/>
                <w:sz w:val="16"/>
                <w:szCs w:val="16"/>
                <w:lang w:val="es-CO" w:eastAsia="es-CO"/>
              </w:rPr>
              <w:br/>
              <w:t>* Manual de protección de datos personales</w:t>
            </w:r>
            <w:r w:rsidRPr="00E305B4">
              <w:rPr>
                <w:rFonts w:asciiTheme="majorHAnsi" w:eastAsia="Times New Roman" w:hAnsiTheme="majorHAnsi" w:cstheme="majorHAnsi"/>
                <w:color w:val="000000"/>
                <w:sz w:val="16"/>
                <w:szCs w:val="16"/>
                <w:lang w:val="es-CO" w:eastAsia="es-CO"/>
              </w:rPr>
              <w:br/>
              <w:t>* Procedimientos de datos personales</w:t>
            </w:r>
          </w:p>
        </w:tc>
        <w:tc>
          <w:tcPr>
            <w:tcW w:w="1763" w:type="dxa"/>
          </w:tcPr>
          <w:p w14:paraId="186ED0C9"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BC0293" w:rsidRPr="00E305B4" w14:paraId="0BDBA529" w14:textId="77777777" w:rsidTr="007F5968">
        <w:trPr>
          <w:trHeight w:val="20"/>
        </w:trPr>
        <w:tc>
          <w:tcPr>
            <w:tcW w:w="840" w:type="dxa"/>
            <w:shd w:val="clear" w:color="000000" w:fill="538DD5"/>
            <w:noWrap/>
            <w:vAlign w:val="center"/>
            <w:hideMark/>
          </w:tcPr>
          <w:p w14:paraId="076DA5A5"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7.5.2</w:t>
            </w:r>
          </w:p>
        </w:tc>
        <w:tc>
          <w:tcPr>
            <w:tcW w:w="10057" w:type="dxa"/>
            <w:gridSpan w:val="5"/>
            <w:shd w:val="clear" w:color="000000" w:fill="538DD5"/>
            <w:noWrap/>
            <w:vAlign w:val="center"/>
            <w:hideMark/>
          </w:tcPr>
          <w:p w14:paraId="147850A2"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Creación y actualización</w:t>
            </w:r>
          </w:p>
        </w:tc>
        <w:tc>
          <w:tcPr>
            <w:tcW w:w="850" w:type="dxa"/>
            <w:shd w:val="clear" w:color="000000" w:fill="538DD5"/>
            <w:noWrap/>
            <w:vAlign w:val="center"/>
            <w:hideMark/>
          </w:tcPr>
          <w:p w14:paraId="66BA1856"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60%</w:t>
            </w:r>
          </w:p>
        </w:tc>
        <w:tc>
          <w:tcPr>
            <w:tcW w:w="3782" w:type="dxa"/>
            <w:shd w:val="clear" w:color="000000" w:fill="538DD5"/>
            <w:noWrap/>
            <w:vAlign w:val="center"/>
            <w:hideMark/>
          </w:tcPr>
          <w:p w14:paraId="0C449202"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3DA20662"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1E08F5B1" w14:textId="77777777" w:rsidTr="007F5968">
        <w:trPr>
          <w:trHeight w:val="20"/>
        </w:trPr>
        <w:tc>
          <w:tcPr>
            <w:tcW w:w="840" w:type="dxa"/>
            <w:shd w:val="clear" w:color="auto" w:fill="auto"/>
            <w:vAlign w:val="center"/>
            <w:hideMark/>
          </w:tcPr>
          <w:p w14:paraId="045BDB48"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7.5.2 (a)</w:t>
            </w:r>
          </w:p>
        </w:tc>
        <w:tc>
          <w:tcPr>
            <w:tcW w:w="1854" w:type="dxa"/>
            <w:vMerge w:val="restart"/>
            <w:shd w:val="clear" w:color="auto" w:fill="auto"/>
            <w:vAlign w:val="center"/>
            <w:hideMark/>
          </w:tcPr>
          <w:p w14:paraId="52F81446"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Cuando se crea y actualiza información documentada, la organización debe asegurarse de que lo siguiente sea apropiado:</w:t>
            </w:r>
          </w:p>
        </w:tc>
        <w:tc>
          <w:tcPr>
            <w:tcW w:w="2551" w:type="dxa"/>
            <w:shd w:val="clear" w:color="auto" w:fill="auto"/>
            <w:vAlign w:val="center"/>
            <w:hideMark/>
          </w:tcPr>
          <w:p w14:paraId="122EA756"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identificación y descripción (por ejemplo, título, fecha, autor o número de referencia)</w:t>
            </w:r>
          </w:p>
        </w:tc>
        <w:tc>
          <w:tcPr>
            <w:tcW w:w="1368" w:type="dxa"/>
            <w:shd w:val="clear" w:color="000000" w:fill="008000"/>
            <w:vAlign w:val="center"/>
            <w:hideMark/>
          </w:tcPr>
          <w:p w14:paraId="22D642EB"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10D1FF73"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cuenta con un procedimiento de gestión documental que hace parte del sistema integrado de gestión</w:t>
            </w:r>
          </w:p>
        </w:tc>
        <w:tc>
          <w:tcPr>
            <w:tcW w:w="1038" w:type="dxa"/>
            <w:shd w:val="clear" w:color="000000" w:fill="00B0F0"/>
            <w:noWrap/>
            <w:vAlign w:val="center"/>
            <w:hideMark/>
          </w:tcPr>
          <w:p w14:paraId="63419C97"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67214770"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60%</w:t>
            </w:r>
          </w:p>
        </w:tc>
        <w:tc>
          <w:tcPr>
            <w:tcW w:w="3782" w:type="dxa"/>
            <w:shd w:val="clear" w:color="auto" w:fill="auto"/>
            <w:vAlign w:val="center"/>
            <w:hideMark/>
          </w:tcPr>
          <w:p w14:paraId="02BE73D3"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documentación del sistema de gestión de seguridad de la información entregada por la consultoría cumplirá con lo establecido por el Manual del sistema integrado de gestión</w:t>
            </w:r>
          </w:p>
        </w:tc>
        <w:tc>
          <w:tcPr>
            <w:tcW w:w="1763" w:type="dxa"/>
          </w:tcPr>
          <w:p w14:paraId="5F6E1ADA"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12C0F3BE" w14:textId="77777777" w:rsidTr="007F5968">
        <w:trPr>
          <w:trHeight w:val="20"/>
        </w:trPr>
        <w:tc>
          <w:tcPr>
            <w:tcW w:w="840" w:type="dxa"/>
            <w:shd w:val="clear" w:color="auto" w:fill="auto"/>
            <w:vAlign w:val="center"/>
            <w:hideMark/>
          </w:tcPr>
          <w:p w14:paraId="58C63F45"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7.5.2 (b)</w:t>
            </w:r>
          </w:p>
        </w:tc>
        <w:tc>
          <w:tcPr>
            <w:tcW w:w="1854" w:type="dxa"/>
            <w:vMerge/>
            <w:vAlign w:val="center"/>
            <w:hideMark/>
          </w:tcPr>
          <w:p w14:paraId="48762E34"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78D76F8E"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el formato (por ejemplo, idioma, versión del software, gráficos) y sus medios de soporte (por ejemplo, papel, electrónico)</w:t>
            </w:r>
          </w:p>
        </w:tc>
        <w:tc>
          <w:tcPr>
            <w:tcW w:w="1368" w:type="dxa"/>
            <w:shd w:val="clear" w:color="000000" w:fill="008000"/>
            <w:vAlign w:val="center"/>
            <w:hideMark/>
          </w:tcPr>
          <w:p w14:paraId="7BDFA5A6"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4DE2D64D"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cuenta con un procedimiento de gestión documental que hace parte del sistema integrado de gestión</w:t>
            </w:r>
          </w:p>
        </w:tc>
        <w:tc>
          <w:tcPr>
            <w:tcW w:w="1038" w:type="dxa"/>
            <w:shd w:val="clear" w:color="000000" w:fill="00B0F0"/>
            <w:noWrap/>
            <w:vAlign w:val="center"/>
            <w:hideMark/>
          </w:tcPr>
          <w:p w14:paraId="124431B3"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5D335ED1"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60%</w:t>
            </w:r>
          </w:p>
        </w:tc>
        <w:tc>
          <w:tcPr>
            <w:tcW w:w="3782" w:type="dxa"/>
            <w:shd w:val="clear" w:color="auto" w:fill="auto"/>
            <w:vAlign w:val="center"/>
            <w:hideMark/>
          </w:tcPr>
          <w:p w14:paraId="16C95A02"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documentación del sistema de gestión de seguridad de la información entregada por la consultoría cumplirá con lo establecido por el Manual del sistema integrado de gestión</w:t>
            </w:r>
          </w:p>
        </w:tc>
        <w:tc>
          <w:tcPr>
            <w:tcW w:w="1763" w:type="dxa"/>
          </w:tcPr>
          <w:p w14:paraId="458ECFA6"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697D468D" w14:textId="77777777" w:rsidTr="007F5968">
        <w:trPr>
          <w:trHeight w:val="20"/>
        </w:trPr>
        <w:tc>
          <w:tcPr>
            <w:tcW w:w="840" w:type="dxa"/>
            <w:shd w:val="clear" w:color="auto" w:fill="auto"/>
            <w:vAlign w:val="center"/>
            <w:hideMark/>
          </w:tcPr>
          <w:p w14:paraId="0F536ABC"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7.5.2 (c)</w:t>
            </w:r>
          </w:p>
        </w:tc>
        <w:tc>
          <w:tcPr>
            <w:tcW w:w="1854" w:type="dxa"/>
            <w:vMerge/>
            <w:vAlign w:val="center"/>
            <w:hideMark/>
          </w:tcPr>
          <w:p w14:paraId="0E32764E"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40F1572B"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revisión y aprobación con respecto a la idoneidad y adecuación.</w:t>
            </w:r>
          </w:p>
        </w:tc>
        <w:tc>
          <w:tcPr>
            <w:tcW w:w="1368" w:type="dxa"/>
            <w:shd w:val="clear" w:color="000000" w:fill="008000"/>
            <w:vAlign w:val="center"/>
            <w:hideMark/>
          </w:tcPr>
          <w:p w14:paraId="05A9D561"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5F6BAC06"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cuenta con un procedimiento de gestión documental que hace parte del sistema integrado de gestión</w:t>
            </w:r>
          </w:p>
        </w:tc>
        <w:tc>
          <w:tcPr>
            <w:tcW w:w="1038" w:type="dxa"/>
            <w:shd w:val="clear" w:color="000000" w:fill="00B0F0"/>
            <w:noWrap/>
            <w:vAlign w:val="center"/>
            <w:hideMark/>
          </w:tcPr>
          <w:p w14:paraId="40B34E74"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39D57DAD"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60%</w:t>
            </w:r>
          </w:p>
        </w:tc>
        <w:tc>
          <w:tcPr>
            <w:tcW w:w="3782" w:type="dxa"/>
            <w:shd w:val="clear" w:color="auto" w:fill="auto"/>
            <w:vAlign w:val="center"/>
            <w:hideMark/>
          </w:tcPr>
          <w:p w14:paraId="4E431EE7"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documentación del sistema de gestión de seguridad de la información entregada por la consultoría cumplirá con lo establecido por el Manual del sistema integrado de gestión</w:t>
            </w:r>
          </w:p>
        </w:tc>
        <w:tc>
          <w:tcPr>
            <w:tcW w:w="1763" w:type="dxa"/>
          </w:tcPr>
          <w:p w14:paraId="00056195"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BC0293" w:rsidRPr="00E305B4" w14:paraId="33B0927B" w14:textId="77777777" w:rsidTr="007F5968">
        <w:trPr>
          <w:trHeight w:val="20"/>
        </w:trPr>
        <w:tc>
          <w:tcPr>
            <w:tcW w:w="840" w:type="dxa"/>
            <w:shd w:val="clear" w:color="000000" w:fill="538DD5"/>
            <w:noWrap/>
            <w:vAlign w:val="center"/>
            <w:hideMark/>
          </w:tcPr>
          <w:p w14:paraId="06087CA0"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7.5.3</w:t>
            </w:r>
          </w:p>
        </w:tc>
        <w:tc>
          <w:tcPr>
            <w:tcW w:w="10057" w:type="dxa"/>
            <w:gridSpan w:val="5"/>
            <w:shd w:val="clear" w:color="000000" w:fill="538DD5"/>
            <w:noWrap/>
            <w:vAlign w:val="center"/>
            <w:hideMark/>
          </w:tcPr>
          <w:p w14:paraId="0EA1A898"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Control de la información documentada</w:t>
            </w:r>
          </w:p>
        </w:tc>
        <w:tc>
          <w:tcPr>
            <w:tcW w:w="850" w:type="dxa"/>
            <w:shd w:val="clear" w:color="000000" w:fill="538DD5"/>
            <w:noWrap/>
            <w:vAlign w:val="center"/>
            <w:hideMark/>
          </w:tcPr>
          <w:p w14:paraId="6ACD97F9"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60%</w:t>
            </w:r>
          </w:p>
        </w:tc>
        <w:tc>
          <w:tcPr>
            <w:tcW w:w="3782" w:type="dxa"/>
            <w:shd w:val="clear" w:color="000000" w:fill="538DD5"/>
            <w:noWrap/>
            <w:vAlign w:val="center"/>
            <w:hideMark/>
          </w:tcPr>
          <w:p w14:paraId="6C4C139B"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3D990DBB"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4A7C3E33" w14:textId="77777777" w:rsidTr="007F5968">
        <w:trPr>
          <w:trHeight w:val="20"/>
        </w:trPr>
        <w:tc>
          <w:tcPr>
            <w:tcW w:w="840" w:type="dxa"/>
            <w:shd w:val="clear" w:color="auto" w:fill="auto"/>
            <w:vAlign w:val="center"/>
            <w:hideMark/>
          </w:tcPr>
          <w:p w14:paraId="17F04078"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7.5.3 (a)</w:t>
            </w:r>
          </w:p>
        </w:tc>
        <w:tc>
          <w:tcPr>
            <w:tcW w:w="1854" w:type="dxa"/>
            <w:vMerge w:val="restart"/>
            <w:shd w:val="clear" w:color="auto" w:fill="auto"/>
            <w:vAlign w:val="center"/>
            <w:hideMark/>
          </w:tcPr>
          <w:p w14:paraId="76E5EF84"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La información documentada requerida por el sistema de gestión de la seguridad de la información y por esta Norma Internacional se </w:t>
            </w:r>
            <w:r w:rsidRPr="00E305B4">
              <w:rPr>
                <w:rFonts w:asciiTheme="majorHAnsi" w:eastAsia="Times New Roman" w:hAnsiTheme="majorHAnsi" w:cstheme="majorHAnsi"/>
                <w:color w:val="000000"/>
                <w:sz w:val="16"/>
                <w:szCs w:val="16"/>
                <w:lang w:val="es-CO" w:eastAsia="es-CO"/>
              </w:rPr>
              <w:lastRenderedPageBreak/>
              <w:t>debe controlar para asegurarse de que:</w:t>
            </w:r>
          </w:p>
        </w:tc>
        <w:tc>
          <w:tcPr>
            <w:tcW w:w="2551" w:type="dxa"/>
            <w:shd w:val="clear" w:color="auto" w:fill="auto"/>
            <w:vAlign w:val="center"/>
            <w:hideMark/>
          </w:tcPr>
          <w:p w14:paraId="6E22966F"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lastRenderedPageBreak/>
              <w:t>esté disponible y adecuada para su uso, donde y cuando se necesite; y</w:t>
            </w:r>
          </w:p>
        </w:tc>
        <w:tc>
          <w:tcPr>
            <w:tcW w:w="1368" w:type="dxa"/>
            <w:shd w:val="clear" w:color="000000" w:fill="008000"/>
            <w:vAlign w:val="center"/>
            <w:hideMark/>
          </w:tcPr>
          <w:p w14:paraId="3FF2075A"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4310D83E"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cuenta con un procedimiento de gestión documental que hace parte del sistema integrado de gestión</w:t>
            </w:r>
          </w:p>
        </w:tc>
        <w:tc>
          <w:tcPr>
            <w:tcW w:w="1038" w:type="dxa"/>
            <w:shd w:val="clear" w:color="000000" w:fill="00B0F0"/>
            <w:noWrap/>
            <w:vAlign w:val="center"/>
            <w:hideMark/>
          </w:tcPr>
          <w:p w14:paraId="7844A67A"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7CB37BFF"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60%</w:t>
            </w:r>
          </w:p>
        </w:tc>
        <w:tc>
          <w:tcPr>
            <w:tcW w:w="3782" w:type="dxa"/>
            <w:shd w:val="clear" w:color="auto" w:fill="auto"/>
            <w:vAlign w:val="center"/>
            <w:hideMark/>
          </w:tcPr>
          <w:p w14:paraId="0CA8D236"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documentación del sistema de gestión de seguridad de la información entregada por la consultoría cumplirá con lo establecido por el Manual del sistema integrado de gestión</w:t>
            </w:r>
          </w:p>
        </w:tc>
        <w:tc>
          <w:tcPr>
            <w:tcW w:w="1763" w:type="dxa"/>
          </w:tcPr>
          <w:p w14:paraId="43951CBC"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3952CE56" w14:textId="77777777" w:rsidTr="007F5968">
        <w:trPr>
          <w:trHeight w:val="20"/>
        </w:trPr>
        <w:tc>
          <w:tcPr>
            <w:tcW w:w="840" w:type="dxa"/>
            <w:shd w:val="clear" w:color="auto" w:fill="auto"/>
            <w:vAlign w:val="center"/>
            <w:hideMark/>
          </w:tcPr>
          <w:p w14:paraId="1B6B0591"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7.5.3 (b)</w:t>
            </w:r>
          </w:p>
        </w:tc>
        <w:tc>
          <w:tcPr>
            <w:tcW w:w="1854" w:type="dxa"/>
            <w:vMerge/>
            <w:vAlign w:val="center"/>
            <w:hideMark/>
          </w:tcPr>
          <w:p w14:paraId="73C159C0"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5B9CFEEE"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esté protegida adecuadamente (por ejemplo, contra pérdida de la </w:t>
            </w:r>
            <w:r w:rsidRPr="00E305B4">
              <w:rPr>
                <w:rFonts w:asciiTheme="majorHAnsi" w:eastAsia="Times New Roman" w:hAnsiTheme="majorHAnsi" w:cstheme="majorHAnsi"/>
                <w:color w:val="000000"/>
                <w:sz w:val="16"/>
                <w:szCs w:val="16"/>
                <w:lang w:val="es-CO" w:eastAsia="es-CO"/>
              </w:rPr>
              <w:lastRenderedPageBreak/>
              <w:t>confiabilidad, uso inadecuado, o pérdida de integridad).</w:t>
            </w:r>
          </w:p>
        </w:tc>
        <w:tc>
          <w:tcPr>
            <w:tcW w:w="1368" w:type="dxa"/>
            <w:shd w:val="clear" w:color="000000" w:fill="008000"/>
            <w:vAlign w:val="center"/>
            <w:hideMark/>
          </w:tcPr>
          <w:p w14:paraId="30ECC4C2"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lastRenderedPageBreak/>
              <w:t>SI</w:t>
            </w:r>
          </w:p>
        </w:tc>
        <w:tc>
          <w:tcPr>
            <w:tcW w:w="3246" w:type="dxa"/>
            <w:shd w:val="clear" w:color="auto" w:fill="auto"/>
            <w:vAlign w:val="center"/>
            <w:hideMark/>
          </w:tcPr>
          <w:p w14:paraId="06450738"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Se cuenta con un procedimiento de gestión documental que hace parte del sistema </w:t>
            </w:r>
            <w:r w:rsidRPr="00E305B4">
              <w:rPr>
                <w:rFonts w:asciiTheme="majorHAnsi" w:eastAsia="Times New Roman" w:hAnsiTheme="majorHAnsi" w:cstheme="majorHAnsi"/>
                <w:color w:val="000000"/>
                <w:sz w:val="16"/>
                <w:szCs w:val="16"/>
                <w:lang w:val="es-CO" w:eastAsia="es-CO"/>
              </w:rPr>
              <w:lastRenderedPageBreak/>
              <w:t>integrado de gestión</w:t>
            </w:r>
          </w:p>
        </w:tc>
        <w:tc>
          <w:tcPr>
            <w:tcW w:w="1038" w:type="dxa"/>
            <w:shd w:val="clear" w:color="000000" w:fill="00B0F0"/>
            <w:noWrap/>
            <w:vAlign w:val="center"/>
            <w:hideMark/>
          </w:tcPr>
          <w:p w14:paraId="2132A06D"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lastRenderedPageBreak/>
              <w:t>Definido</w:t>
            </w:r>
          </w:p>
        </w:tc>
        <w:tc>
          <w:tcPr>
            <w:tcW w:w="850" w:type="dxa"/>
            <w:shd w:val="clear" w:color="auto" w:fill="auto"/>
            <w:noWrap/>
            <w:vAlign w:val="center"/>
            <w:hideMark/>
          </w:tcPr>
          <w:p w14:paraId="2E41281A"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60%</w:t>
            </w:r>
          </w:p>
        </w:tc>
        <w:tc>
          <w:tcPr>
            <w:tcW w:w="3782" w:type="dxa"/>
            <w:shd w:val="clear" w:color="auto" w:fill="auto"/>
            <w:vAlign w:val="center"/>
            <w:hideMark/>
          </w:tcPr>
          <w:p w14:paraId="14AC3142"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La documentación del sistema de gestión de seguridad de la información entregada por la </w:t>
            </w:r>
            <w:r w:rsidRPr="00E305B4">
              <w:rPr>
                <w:rFonts w:asciiTheme="majorHAnsi" w:eastAsia="Times New Roman" w:hAnsiTheme="majorHAnsi" w:cstheme="majorHAnsi"/>
                <w:color w:val="000000"/>
                <w:sz w:val="16"/>
                <w:szCs w:val="16"/>
                <w:lang w:val="es-CO" w:eastAsia="es-CO"/>
              </w:rPr>
              <w:lastRenderedPageBreak/>
              <w:t>consultoría cumplirá con lo establecido por el Manual del sistema integrado de gestión</w:t>
            </w:r>
          </w:p>
        </w:tc>
        <w:tc>
          <w:tcPr>
            <w:tcW w:w="1763" w:type="dxa"/>
          </w:tcPr>
          <w:p w14:paraId="2CEA7337"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43B1879E" w14:textId="77777777" w:rsidTr="007F5968">
        <w:trPr>
          <w:trHeight w:val="20"/>
        </w:trPr>
        <w:tc>
          <w:tcPr>
            <w:tcW w:w="840" w:type="dxa"/>
            <w:shd w:val="clear" w:color="auto" w:fill="auto"/>
            <w:vAlign w:val="center"/>
            <w:hideMark/>
          </w:tcPr>
          <w:p w14:paraId="38C28C6A"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7.5.3 (c)</w:t>
            </w:r>
          </w:p>
        </w:tc>
        <w:tc>
          <w:tcPr>
            <w:tcW w:w="1854" w:type="dxa"/>
            <w:vMerge w:val="restart"/>
            <w:shd w:val="clear" w:color="auto" w:fill="auto"/>
            <w:vAlign w:val="center"/>
            <w:hideMark/>
          </w:tcPr>
          <w:p w14:paraId="1A9189D0"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Para el control de la información documentada, la organización debe tratar las siguientes actividades, según sea aplicable:</w:t>
            </w:r>
          </w:p>
        </w:tc>
        <w:tc>
          <w:tcPr>
            <w:tcW w:w="2551" w:type="dxa"/>
            <w:shd w:val="clear" w:color="auto" w:fill="auto"/>
            <w:vAlign w:val="center"/>
            <w:hideMark/>
          </w:tcPr>
          <w:p w14:paraId="5C60B917"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distribución, acceso, recuperación y uso;</w:t>
            </w:r>
          </w:p>
        </w:tc>
        <w:tc>
          <w:tcPr>
            <w:tcW w:w="1368" w:type="dxa"/>
            <w:shd w:val="clear" w:color="000000" w:fill="008000"/>
            <w:vAlign w:val="center"/>
            <w:hideMark/>
          </w:tcPr>
          <w:p w14:paraId="05A9A0F8"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5790F600"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cuenta con un procedimiento de gestión documental que hace parte del sistema integrado de gestión</w:t>
            </w:r>
          </w:p>
        </w:tc>
        <w:tc>
          <w:tcPr>
            <w:tcW w:w="1038" w:type="dxa"/>
            <w:shd w:val="clear" w:color="000000" w:fill="00B0F0"/>
            <w:noWrap/>
            <w:vAlign w:val="center"/>
            <w:hideMark/>
          </w:tcPr>
          <w:p w14:paraId="6F3A48C5"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2A06A78D"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60%</w:t>
            </w:r>
          </w:p>
        </w:tc>
        <w:tc>
          <w:tcPr>
            <w:tcW w:w="3782" w:type="dxa"/>
            <w:shd w:val="clear" w:color="auto" w:fill="auto"/>
            <w:vAlign w:val="center"/>
            <w:hideMark/>
          </w:tcPr>
          <w:p w14:paraId="5C569AF9"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documentación del sistema de gestión de seguridad de la información entregada por la consultoría cumplirá con lo establecido por el Manual del sistema integrado de gestión</w:t>
            </w:r>
          </w:p>
        </w:tc>
        <w:tc>
          <w:tcPr>
            <w:tcW w:w="1763" w:type="dxa"/>
          </w:tcPr>
          <w:p w14:paraId="018418A1"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01E214AD" w14:textId="77777777" w:rsidTr="007F5968">
        <w:trPr>
          <w:trHeight w:val="20"/>
        </w:trPr>
        <w:tc>
          <w:tcPr>
            <w:tcW w:w="840" w:type="dxa"/>
            <w:shd w:val="clear" w:color="auto" w:fill="auto"/>
            <w:vAlign w:val="center"/>
            <w:hideMark/>
          </w:tcPr>
          <w:p w14:paraId="0CAC9BE8"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7.5.3 (d)</w:t>
            </w:r>
          </w:p>
        </w:tc>
        <w:tc>
          <w:tcPr>
            <w:tcW w:w="1854" w:type="dxa"/>
            <w:vMerge/>
            <w:vAlign w:val="center"/>
            <w:hideMark/>
          </w:tcPr>
          <w:p w14:paraId="54E5DA9D"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11008FE1"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almacenamiento y preservación, incluida la preservación de la legibilidad;</w:t>
            </w:r>
          </w:p>
        </w:tc>
        <w:tc>
          <w:tcPr>
            <w:tcW w:w="1368" w:type="dxa"/>
            <w:shd w:val="clear" w:color="000000" w:fill="008000"/>
            <w:vAlign w:val="center"/>
            <w:hideMark/>
          </w:tcPr>
          <w:p w14:paraId="5D9C7238"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55D6B31F"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cuenta con un procedimiento de gestión documental que hace parte del sistema integrado de gestión</w:t>
            </w:r>
          </w:p>
        </w:tc>
        <w:tc>
          <w:tcPr>
            <w:tcW w:w="1038" w:type="dxa"/>
            <w:shd w:val="clear" w:color="000000" w:fill="00B0F0"/>
            <w:noWrap/>
            <w:vAlign w:val="center"/>
            <w:hideMark/>
          </w:tcPr>
          <w:p w14:paraId="28A291DE"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7FC2B0CF"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60%</w:t>
            </w:r>
          </w:p>
        </w:tc>
        <w:tc>
          <w:tcPr>
            <w:tcW w:w="3782" w:type="dxa"/>
            <w:shd w:val="clear" w:color="auto" w:fill="auto"/>
            <w:vAlign w:val="center"/>
            <w:hideMark/>
          </w:tcPr>
          <w:p w14:paraId="6B05FA1F"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documentación del sistema de gestión de seguridad de la información entregada por la consultoría cumplirá con lo establecido por el Manual del sistema integrado de gestión</w:t>
            </w:r>
          </w:p>
        </w:tc>
        <w:tc>
          <w:tcPr>
            <w:tcW w:w="1763" w:type="dxa"/>
          </w:tcPr>
          <w:p w14:paraId="5F595A17"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4CE787F3" w14:textId="77777777" w:rsidTr="007F5968">
        <w:trPr>
          <w:trHeight w:val="20"/>
        </w:trPr>
        <w:tc>
          <w:tcPr>
            <w:tcW w:w="840" w:type="dxa"/>
            <w:shd w:val="clear" w:color="auto" w:fill="auto"/>
            <w:vAlign w:val="center"/>
            <w:hideMark/>
          </w:tcPr>
          <w:p w14:paraId="593FEF09"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7.5.3 (e)</w:t>
            </w:r>
          </w:p>
        </w:tc>
        <w:tc>
          <w:tcPr>
            <w:tcW w:w="1854" w:type="dxa"/>
            <w:vMerge/>
            <w:vAlign w:val="center"/>
            <w:hideMark/>
          </w:tcPr>
          <w:p w14:paraId="04C22356"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26D25669"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control de cambios (por ejemplo, control de versión); y</w:t>
            </w:r>
          </w:p>
        </w:tc>
        <w:tc>
          <w:tcPr>
            <w:tcW w:w="1368" w:type="dxa"/>
            <w:shd w:val="clear" w:color="000000" w:fill="008000"/>
            <w:vAlign w:val="center"/>
            <w:hideMark/>
          </w:tcPr>
          <w:p w14:paraId="6E49CE83"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208465A9"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cuenta con un procedimiento de gestión documental que hace parte del sistema integrado de gestión</w:t>
            </w:r>
          </w:p>
        </w:tc>
        <w:tc>
          <w:tcPr>
            <w:tcW w:w="1038" w:type="dxa"/>
            <w:shd w:val="clear" w:color="000000" w:fill="00B0F0"/>
            <w:noWrap/>
            <w:vAlign w:val="center"/>
            <w:hideMark/>
          </w:tcPr>
          <w:p w14:paraId="123CD7CB"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432F4097"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60%</w:t>
            </w:r>
          </w:p>
        </w:tc>
        <w:tc>
          <w:tcPr>
            <w:tcW w:w="3782" w:type="dxa"/>
            <w:shd w:val="clear" w:color="auto" w:fill="auto"/>
            <w:vAlign w:val="center"/>
            <w:hideMark/>
          </w:tcPr>
          <w:p w14:paraId="06CDC364"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documentación del sistema de gestión de seguridad de la información entregada por la consultoría cumplirá con lo establecido por el Manual del sistema integrado de gestión</w:t>
            </w:r>
          </w:p>
        </w:tc>
        <w:tc>
          <w:tcPr>
            <w:tcW w:w="1763" w:type="dxa"/>
          </w:tcPr>
          <w:p w14:paraId="1ECD8156"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2FD148F7" w14:textId="77777777" w:rsidTr="007F5968">
        <w:trPr>
          <w:trHeight w:val="1492"/>
        </w:trPr>
        <w:tc>
          <w:tcPr>
            <w:tcW w:w="840" w:type="dxa"/>
            <w:shd w:val="clear" w:color="auto" w:fill="auto"/>
            <w:vAlign w:val="center"/>
            <w:hideMark/>
          </w:tcPr>
          <w:p w14:paraId="69574898"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7.5.3 (f)</w:t>
            </w:r>
          </w:p>
        </w:tc>
        <w:tc>
          <w:tcPr>
            <w:tcW w:w="1854" w:type="dxa"/>
            <w:vMerge/>
            <w:vAlign w:val="center"/>
            <w:hideMark/>
          </w:tcPr>
          <w:p w14:paraId="5488EED2"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243ED4F1"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retención y disposición.</w:t>
            </w:r>
          </w:p>
        </w:tc>
        <w:tc>
          <w:tcPr>
            <w:tcW w:w="1368" w:type="dxa"/>
            <w:shd w:val="clear" w:color="000000" w:fill="008000"/>
            <w:vAlign w:val="center"/>
            <w:hideMark/>
          </w:tcPr>
          <w:p w14:paraId="197BF58C"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4387C716"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cuenta con un procedimiento de gestión documental que hace parte del sistema integrado de gestión</w:t>
            </w:r>
          </w:p>
        </w:tc>
        <w:tc>
          <w:tcPr>
            <w:tcW w:w="1038" w:type="dxa"/>
            <w:shd w:val="clear" w:color="000000" w:fill="00B0F0"/>
            <w:noWrap/>
            <w:vAlign w:val="center"/>
            <w:hideMark/>
          </w:tcPr>
          <w:p w14:paraId="4AED7EEB"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142AD4BE"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60%</w:t>
            </w:r>
          </w:p>
        </w:tc>
        <w:tc>
          <w:tcPr>
            <w:tcW w:w="3782" w:type="dxa"/>
            <w:shd w:val="clear" w:color="auto" w:fill="auto"/>
            <w:vAlign w:val="center"/>
            <w:hideMark/>
          </w:tcPr>
          <w:p w14:paraId="4A30288E"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documentación del sistema de gestión de seguridad de la información entregada por la consultoría cumplirá con lo establecido por el Manual del sistema integrado de gestión</w:t>
            </w:r>
          </w:p>
        </w:tc>
        <w:tc>
          <w:tcPr>
            <w:tcW w:w="1763" w:type="dxa"/>
          </w:tcPr>
          <w:p w14:paraId="3490BDE2"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BC0293" w:rsidRPr="00E305B4" w14:paraId="0550FE3B" w14:textId="77777777" w:rsidTr="007F5968">
        <w:trPr>
          <w:trHeight w:val="20"/>
        </w:trPr>
        <w:tc>
          <w:tcPr>
            <w:tcW w:w="840" w:type="dxa"/>
            <w:shd w:val="clear" w:color="000000" w:fill="538DD5"/>
            <w:noWrap/>
            <w:vAlign w:val="center"/>
            <w:hideMark/>
          </w:tcPr>
          <w:p w14:paraId="0AE8F89C"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8</w:t>
            </w:r>
          </w:p>
        </w:tc>
        <w:tc>
          <w:tcPr>
            <w:tcW w:w="10057" w:type="dxa"/>
            <w:gridSpan w:val="5"/>
            <w:shd w:val="clear" w:color="000000" w:fill="538DD5"/>
            <w:noWrap/>
            <w:vAlign w:val="center"/>
            <w:hideMark/>
          </w:tcPr>
          <w:p w14:paraId="26963A16"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OPERACIÓN</w:t>
            </w:r>
          </w:p>
        </w:tc>
        <w:tc>
          <w:tcPr>
            <w:tcW w:w="850" w:type="dxa"/>
            <w:shd w:val="clear" w:color="000000" w:fill="538DD5"/>
            <w:noWrap/>
            <w:vAlign w:val="center"/>
            <w:hideMark/>
          </w:tcPr>
          <w:p w14:paraId="6C3F276B"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13%</w:t>
            </w:r>
          </w:p>
        </w:tc>
        <w:tc>
          <w:tcPr>
            <w:tcW w:w="3782" w:type="dxa"/>
            <w:shd w:val="clear" w:color="000000" w:fill="538DD5"/>
            <w:noWrap/>
            <w:vAlign w:val="center"/>
            <w:hideMark/>
          </w:tcPr>
          <w:p w14:paraId="4DD8345F"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7A5E0E21"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BC0293" w:rsidRPr="00E305B4" w14:paraId="73DE564C" w14:textId="77777777" w:rsidTr="007F5968">
        <w:trPr>
          <w:trHeight w:val="20"/>
        </w:trPr>
        <w:tc>
          <w:tcPr>
            <w:tcW w:w="840" w:type="dxa"/>
            <w:shd w:val="clear" w:color="000000" w:fill="538DD5"/>
            <w:noWrap/>
            <w:vAlign w:val="center"/>
            <w:hideMark/>
          </w:tcPr>
          <w:p w14:paraId="0F35C2D3"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8.1</w:t>
            </w:r>
          </w:p>
        </w:tc>
        <w:tc>
          <w:tcPr>
            <w:tcW w:w="10057" w:type="dxa"/>
            <w:gridSpan w:val="5"/>
            <w:shd w:val="clear" w:color="000000" w:fill="538DD5"/>
            <w:noWrap/>
            <w:vAlign w:val="center"/>
            <w:hideMark/>
          </w:tcPr>
          <w:p w14:paraId="1C7FE4A2"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Planificación y control operacional</w:t>
            </w:r>
          </w:p>
        </w:tc>
        <w:tc>
          <w:tcPr>
            <w:tcW w:w="850" w:type="dxa"/>
            <w:shd w:val="clear" w:color="000000" w:fill="538DD5"/>
            <w:noWrap/>
            <w:vAlign w:val="center"/>
            <w:hideMark/>
          </w:tcPr>
          <w:p w14:paraId="7172D55E"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40%</w:t>
            </w:r>
          </w:p>
        </w:tc>
        <w:tc>
          <w:tcPr>
            <w:tcW w:w="3782" w:type="dxa"/>
            <w:shd w:val="clear" w:color="000000" w:fill="538DD5"/>
            <w:noWrap/>
            <w:vAlign w:val="center"/>
            <w:hideMark/>
          </w:tcPr>
          <w:p w14:paraId="5D707208"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3DD3728D"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1A93526C" w14:textId="77777777" w:rsidTr="007F5968">
        <w:trPr>
          <w:trHeight w:val="20"/>
        </w:trPr>
        <w:tc>
          <w:tcPr>
            <w:tcW w:w="840" w:type="dxa"/>
            <w:shd w:val="clear" w:color="auto" w:fill="auto"/>
            <w:vAlign w:val="center"/>
            <w:hideMark/>
          </w:tcPr>
          <w:p w14:paraId="33A1A1F6"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8.1</w:t>
            </w:r>
          </w:p>
        </w:tc>
        <w:tc>
          <w:tcPr>
            <w:tcW w:w="1854" w:type="dxa"/>
            <w:shd w:val="clear" w:color="auto" w:fill="auto"/>
            <w:vAlign w:val="center"/>
            <w:hideMark/>
          </w:tcPr>
          <w:p w14:paraId="5ACF3A0D"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Planificación y control operacional</w:t>
            </w:r>
          </w:p>
        </w:tc>
        <w:tc>
          <w:tcPr>
            <w:tcW w:w="2551" w:type="dxa"/>
            <w:shd w:val="clear" w:color="auto" w:fill="auto"/>
            <w:vAlign w:val="center"/>
            <w:hideMark/>
          </w:tcPr>
          <w:p w14:paraId="5AF2DCD6"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organización debe planificar, implementar y controlar los procesos necesarios para cumplir los requisitos y para implementar las acciones determinadas en el apartado 6.1. La organización también debe implementar planes para lograr los objetivos de la seguridad de la información determinados en el apartado 6.2.</w:t>
            </w:r>
            <w:r w:rsidRPr="00E305B4">
              <w:rPr>
                <w:rFonts w:asciiTheme="majorHAnsi" w:eastAsia="Times New Roman" w:hAnsiTheme="majorHAnsi" w:cstheme="majorHAnsi"/>
                <w:color w:val="000000"/>
                <w:sz w:val="16"/>
                <w:szCs w:val="16"/>
                <w:lang w:val="es-CO" w:eastAsia="es-CO"/>
              </w:rPr>
              <w:br/>
              <w:t>La organización debe mantener información documentada en la medida necesaria para tener la confianza en que los procesos se han llevado a cabo según lo planificado.</w:t>
            </w:r>
            <w:r w:rsidRPr="00E305B4">
              <w:rPr>
                <w:rFonts w:asciiTheme="majorHAnsi" w:eastAsia="Times New Roman" w:hAnsiTheme="majorHAnsi" w:cstheme="majorHAnsi"/>
                <w:color w:val="000000"/>
                <w:sz w:val="16"/>
                <w:szCs w:val="16"/>
                <w:lang w:val="es-CO" w:eastAsia="es-CO"/>
              </w:rPr>
              <w:br/>
              <w:t xml:space="preserve">La organización debe controlar los cambios planificados y revisar las </w:t>
            </w:r>
            <w:r w:rsidRPr="00E305B4">
              <w:rPr>
                <w:rFonts w:asciiTheme="majorHAnsi" w:eastAsia="Times New Roman" w:hAnsiTheme="majorHAnsi" w:cstheme="majorHAnsi"/>
                <w:color w:val="000000"/>
                <w:sz w:val="16"/>
                <w:szCs w:val="16"/>
                <w:lang w:val="es-CO" w:eastAsia="es-CO"/>
              </w:rPr>
              <w:lastRenderedPageBreak/>
              <w:t>consecuencias de los cambios no previstos, tomando acciones para mitigar los efectos adversos, cuando sea necesario.</w:t>
            </w:r>
            <w:r w:rsidRPr="00E305B4">
              <w:rPr>
                <w:rFonts w:asciiTheme="majorHAnsi" w:eastAsia="Times New Roman" w:hAnsiTheme="majorHAnsi" w:cstheme="majorHAnsi"/>
                <w:color w:val="000000"/>
                <w:sz w:val="16"/>
                <w:szCs w:val="16"/>
                <w:lang w:val="es-CO" w:eastAsia="es-CO"/>
              </w:rPr>
              <w:br/>
              <w:t>La organización debe asegurar que los procesos contratados externamente estén controlados.</w:t>
            </w:r>
          </w:p>
        </w:tc>
        <w:tc>
          <w:tcPr>
            <w:tcW w:w="1368" w:type="dxa"/>
            <w:shd w:val="clear" w:color="000000" w:fill="C00000"/>
            <w:vAlign w:val="center"/>
            <w:hideMark/>
          </w:tcPr>
          <w:p w14:paraId="320EEEF6"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lastRenderedPageBreak/>
              <w:t>NO</w:t>
            </w:r>
          </w:p>
        </w:tc>
        <w:tc>
          <w:tcPr>
            <w:tcW w:w="3246" w:type="dxa"/>
            <w:shd w:val="clear" w:color="auto" w:fill="auto"/>
            <w:vAlign w:val="center"/>
            <w:hideMark/>
          </w:tcPr>
          <w:p w14:paraId="01F21875"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tienen implementados controles que protegen la confidencialidad, integridad y disponibilidad de la información gestionada en la institución, pero requieren revisión.</w:t>
            </w:r>
            <w:r w:rsidRPr="00E305B4">
              <w:rPr>
                <w:rFonts w:asciiTheme="majorHAnsi" w:eastAsia="Times New Roman" w:hAnsiTheme="majorHAnsi" w:cstheme="majorHAnsi"/>
                <w:color w:val="000000"/>
                <w:sz w:val="16"/>
                <w:szCs w:val="16"/>
                <w:lang w:val="es-CO" w:eastAsia="es-CO"/>
              </w:rPr>
              <w:br/>
              <w:t xml:space="preserve">Adicionalmente se requiere verificar que lo establecido en la Resolución </w:t>
            </w:r>
            <w:r w:rsidR="008E4BEC">
              <w:rPr>
                <w:rFonts w:asciiTheme="majorHAnsi" w:eastAsia="Times New Roman" w:hAnsiTheme="majorHAnsi" w:cstheme="majorHAnsi"/>
                <w:color w:val="000000"/>
                <w:sz w:val="16"/>
                <w:szCs w:val="16"/>
                <w:lang w:val="es-CO" w:eastAsia="es-CO"/>
              </w:rPr>
              <w:t>0186</w:t>
            </w:r>
            <w:r w:rsidRPr="00E305B4">
              <w:rPr>
                <w:rFonts w:asciiTheme="majorHAnsi" w:eastAsia="Times New Roman" w:hAnsiTheme="majorHAnsi" w:cstheme="majorHAnsi"/>
                <w:color w:val="000000"/>
                <w:sz w:val="16"/>
                <w:szCs w:val="16"/>
                <w:lang w:val="es-CO" w:eastAsia="es-CO"/>
              </w:rPr>
              <w:t xml:space="preserve"> de 201</w:t>
            </w:r>
            <w:r w:rsidR="008E4BEC">
              <w:rPr>
                <w:rFonts w:asciiTheme="majorHAnsi" w:eastAsia="Times New Roman" w:hAnsiTheme="majorHAnsi" w:cstheme="majorHAnsi"/>
                <w:color w:val="000000"/>
                <w:sz w:val="16"/>
                <w:szCs w:val="16"/>
                <w:lang w:val="es-CO" w:eastAsia="es-CO"/>
              </w:rPr>
              <w:t>9</w:t>
            </w:r>
            <w:r w:rsidRPr="00E305B4">
              <w:rPr>
                <w:rFonts w:asciiTheme="majorHAnsi" w:eastAsia="Times New Roman" w:hAnsiTheme="majorHAnsi" w:cstheme="majorHAnsi"/>
                <w:color w:val="000000"/>
                <w:sz w:val="16"/>
                <w:szCs w:val="16"/>
                <w:lang w:val="es-CO" w:eastAsia="es-CO"/>
              </w:rPr>
              <w:t xml:space="preserve"> se cumpla.</w:t>
            </w:r>
          </w:p>
        </w:tc>
        <w:tc>
          <w:tcPr>
            <w:tcW w:w="1038" w:type="dxa"/>
            <w:shd w:val="clear" w:color="000000" w:fill="FFFF00"/>
            <w:noWrap/>
            <w:vAlign w:val="center"/>
            <w:hideMark/>
          </w:tcPr>
          <w:p w14:paraId="3FA0DFC0"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Repetible</w:t>
            </w:r>
          </w:p>
        </w:tc>
        <w:tc>
          <w:tcPr>
            <w:tcW w:w="850" w:type="dxa"/>
            <w:shd w:val="clear" w:color="auto" w:fill="auto"/>
            <w:noWrap/>
            <w:vAlign w:val="center"/>
            <w:hideMark/>
          </w:tcPr>
          <w:p w14:paraId="19B498C7" w14:textId="77777777" w:rsidR="007F5968" w:rsidRPr="00E305B4" w:rsidRDefault="008E4BEC"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6</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4055D479"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8E4BEC">
              <w:rPr>
                <w:rFonts w:asciiTheme="majorHAnsi" w:eastAsia="Times New Roman" w:hAnsiTheme="majorHAnsi" w:cstheme="majorHAnsi"/>
                <w:color w:val="000000"/>
                <w:sz w:val="16"/>
                <w:szCs w:val="16"/>
                <w:highlight w:val="cyan"/>
                <w:lang w:val="es-CO" w:eastAsia="es-CO"/>
              </w:rPr>
              <w:t>* La documentación entregada por la consultoría del sistema de gestión de seguridad de la información deberá ser aprobada por la alta dirección</w:t>
            </w:r>
            <w:r w:rsidRPr="008E4BEC">
              <w:rPr>
                <w:rFonts w:asciiTheme="majorHAnsi" w:eastAsia="Times New Roman" w:hAnsiTheme="majorHAnsi" w:cstheme="majorHAnsi"/>
                <w:color w:val="000000"/>
                <w:sz w:val="16"/>
                <w:szCs w:val="16"/>
                <w:highlight w:val="cyan"/>
                <w:lang w:val="es-CO" w:eastAsia="es-CO"/>
              </w:rPr>
              <w:br/>
              <w:t>* Se deben garantizar el cumplimiento de las políticas establecidas para la seguridad de la información</w:t>
            </w:r>
            <w:r w:rsidRPr="008E4BEC">
              <w:rPr>
                <w:rFonts w:asciiTheme="majorHAnsi" w:eastAsia="Times New Roman" w:hAnsiTheme="majorHAnsi" w:cstheme="majorHAnsi"/>
                <w:color w:val="000000"/>
                <w:sz w:val="16"/>
                <w:szCs w:val="16"/>
                <w:highlight w:val="cyan"/>
                <w:lang w:val="es-CO" w:eastAsia="es-CO"/>
              </w:rPr>
              <w:br/>
              <w:t>* Se debe hacer seguimiento del sistema mediante las métricas establecidas.</w:t>
            </w:r>
          </w:p>
        </w:tc>
        <w:tc>
          <w:tcPr>
            <w:tcW w:w="1763" w:type="dxa"/>
          </w:tcPr>
          <w:p w14:paraId="37C4F90E"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BC0293" w:rsidRPr="00E305B4" w14:paraId="6686520F" w14:textId="77777777" w:rsidTr="007F5968">
        <w:trPr>
          <w:trHeight w:val="20"/>
        </w:trPr>
        <w:tc>
          <w:tcPr>
            <w:tcW w:w="840" w:type="dxa"/>
            <w:shd w:val="clear" w:color="000000" w:fill="538DD5"/>
            <w:noWrap/>
            <w:vAlign w:val="center"/>
            <w:hideMark/>
          </w:tcPr>
          <w:p w14:paraId="20CDC5E3"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8.2</w:t>
            </w:r>
          </w:p>
        </w:tc>
        <w:tc>
          <w:tcPr>
            <w:tcW w:w="10057" w:type="dxa"/>
            <w:gridSpan w:val="5"/>
            <w:shd w:val="clear" w:color="000000" w:fill="538DD5"/>
            <w:noWrap/>
            <w:vAlign w:val="center"/>
            <w:hideMark/>
          </w:tcPr>
          <w:p w14:paraId="112D6857"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Evaluación de riesgos de seguridad de la información</w:t>
            </w:r>
          </w:p>
        </w:tc>
        <w:tc>
          <w:tcPr>
            <w:tcW w:w="850" w:type="dxa"/>
            <w:shd w:val="clear" w:color="000000" w:fill="538DD5"/>
            <w:noWrap/>
            <w:vAlign w:val="center"/>
            <w:hideMark/>
          </w:tcPr>
          <w:p w14:paraId="1608810A"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0%</w:t>
            </w:r>
          </w:p>
        </w:tc>
        <w:tc>
          <w:tcPr>
            <w:tcW w:w="3782" w:type="dxa"/>
            <w:shd w:val="clear" w:color="000000" w:fill="538DD5"/>
            <w:noWrap/>
            <w:vAlign w:val="center"/>
            <w:hideMark/>
          </w:tcPr>
          <w:p w14:paraId="5F4B0F48"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5D963544"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59F8F8EF" w14:textId="77777777" w:rsidTr="007F5968">
        <w:trPr>
          <w:trHeight w:val="20"/>
        </w:trPr>
        <w:tc>
          <w:tcPr>
            <w:tcW w:w="840" w:type="dxa"/>
            <w:shd w:val="clear" w:color="auto" w:fill="auto"/>
            <w:vAlign w:val="center"/>
            <w:hideMark/>
          </w:tcPr>
          <w:p w14:paraId="4A06F9EB"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8.2</w:t>
            </w:r>
          </w:p>
        </w:tc>
        <w:tc>
          <w:tcPr>
            <w:tcW w:w="1854" w:type="dxa"/>
            <w:shd w:val="clear" w:color="auto" w:fill="auto"/>
            <w:vAlign w:val="center"/>
            <w:hideMark/>
          </w:tcPr>
          <w:p w14:paraId="08AE7880"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Evaluación de riesgos de seguridad de la información</w:t>
            </w:r>
          </w:p>
        </w:tc>
        <w:tc>
          <w:tcPr>
            <w:tcW w:w="2551" w:type="dxa"/>
            <w:shd w:val="clear" w:color="auto" w:fill="auto"/>
            <w:vAlign w:val="center"/>
            <w:hideMark/>
          </w:tcPr>
          <w:p w14:paraId="28518EF5"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organización debe llevar a cabo evaluaciones de riesgos de la seguridad de la información a intervalos planificados o cuando se propongan u ocurran cambios significativos, teniendo en cuenta los criterios establecidos en el apartado 6.1.2 a).</w:t>
            </w:r>
          </w:p>
        </w:tc>
        <w:tc>
          <w:tcPr>
            <w:tcW w:w="1368" w:type="dxa"/>
            <w:shd w:val="clear" w:color="000000" w:fill="C00000"/>
            <w:vAlign w:val="center"/>
            <w:hideMark/>
          </w:tcPr>
          <w:p w14:paraId="5BE61948" w14:textId="77777777" w:rsidR="007F5968" w:rsidRPr="00E305B4" w:rsidRDefault="007F5968" w:rsidP="0098415C">
            <w:pPr>
              <w:rPr>
                <w:rFonts w:asciiTheme="majorHAnsi" w:eastAsia="Times New Roman" w:hAnsiTheme="majorHAnsi" w:cstheme="majorHAnsi"/>
                <w:b/>
                <w:bCs/>
                <w:color w:val="FFFFFF"/>
                <w:sz w:val="16"/>
                <w:szCs w:val="16"/>
                <w:lang w:val="es-CO" w:eastAsia="es-CO"/>
              </w:rPr>
            </w:pPr>
          </w:p>
        </w:tc>
        <w:tc>
          <w:tcPr>
            <w:tcW w:w="3246" w:type="dxa"/>
            <w:shd w:val="clear" w:color="auto" w:fill="auto"/>
            <w:vAlign w:val="center"/>
            <w:hideMark/>
          </w:tcPr>
          <w:p w14:paraId="2564B58D" w14:textId="77777777" w:rsidR="007F5968" w:rsidRPr="00E305B4" w:rsidRDefault="00305168"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Se cuenta con un informe de 2019 realizado por la consultaría de </w:t>
            </w:r>
            <w:r w:rsidRPr="00E305B4">
              <w:rPr>
                <w:rFonts w:asciiTheme="majorHAnsi" w:eastAsia="Times New Roman" w:hAnsiTheme="majorHAnsi" w:cstheme="majorHAnsi"/>
                <w:color w:val="000000"/>
                <w:sz w:val="16"/>
                <w:szCs w:val="16"/>
                <w:lang w:val="es-CO" w:eastAsia="es-CO"/>
              </w:rPr>
              <w:t>análisis</w:t>
            </w:r>
            <w:r w:rsidR="007F5968" w:rsidRPr="00E305B4">
              <w:rPr>
                <w:rFonts w:asciiTheme="majorHAnsi" w:eastAsia="Times New Roman" w:hAnsiTheme="majorHAnsi" w:cstheme="majorHAnsi"/>
                <w:color w:val="000000"/>
                <w:sz w:val="16"/>
                <w:szCs w:val="16"/>
                <w:lang w:val="es-CO" w:eastAsia="es-CO"/>
              </w:rPr>
              <w:t xml:space="preserve"> formal de riesgos en seguridad de la información</w:t>
            </w:r>
          </w:p>
        </w:tc>
        <w:tc>
          <w:tcPr>
            <w:tcW w:w="1038" w:type="dxa"/>
            <w:shd w:val="clear" w:color="000000" w:fill="FF0000"/>
            <w:noWrap/>
            <w:vAlign w:val="center"/>
            <w:hideMark/>
          </w:tcPr>
          <w:p w14:paraId="2395A642"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3F18091E" w14:textId="77777777" w:rsidR="007F5968" w:rsidRPr="00E305B4" w:rsidRDefault="00305168"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40</w:t>
            </w:r>
            <w:r w:rsidR="007F5968"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1822A742"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 </w:t>
            </w:r>
            <w:r w:rsidR="00305168">
              <w:rPr>
                <w:rFonts w:asciiTheme="majorHAnsi" w:eastAsia="Times New Roman" w:hAnsiTheme="majorHAnsi" w:cstheme="majorHAnsi"/>
                <w:color w:val="000000"/>
                <w:sz w:val="16"/>
                <w:szCs w:val="16"/>
                <w:lang w:val="es-CO" w:eastAsia="es-CO"/>
              </w:rPr>
              <w:t>se cuenta con</w:t>
            </w:r>
            <w:r w:rsidRPr="00E305B4">
              <w:rPr>
                <w:rFonts w:asciiTheme="majorHAnsi" w:eastAsia="Times New Roman" w:hAnsiTheme="majorHAnsi" w:cstheme="majorHAnsi"/>
                <w:color w:val="000000"/>
                <w:sz w:val="16"/>
                <w:szCs w:val="16"/>
                <w:lang w:val="es-CO" w:eastAsia="es-CO"/>
              </w:rPr>
              <w:t xml:space="preserve"> un análisis de riesgos de seguridad de la información, según la metodología aprobada para dicho análisis.</w:t>
            </w:r>
          </w:p>
        </w:tc>
        <w:tc>
          <w:tcPr>
            <w:tcW w:w="1763" w:type="dxa"/>
          </w:tcPr>
          <w:p w14:paraId="04773CE9" w14:textId="77777777" w:rsidR="007F5968" w:rsidRDefault="00305168"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Informe de análisis de Riesgos</w:t>
            </w:r>
          </w:p>
          <w:p w14:paraId="6D687761" w14:textId="77777777" w:rsidR="00305168" w:rsidRDefault="00305168" w:rsidP="000F099B">
            <w:pPr>
              <w:rPr>
                <w:rFonts w:asciiTheme="majorHAnsi" w:eastAsia="Times New Roman" w:hAnsiTheme="majorHAnsi" w:cstheme="majorHAnsi"/>
                <w:color w:val="000000"/>
                <w:sz w:val="16"/>
                <w:szCs w:val="16"/>
                <w:lang w:val="es-CO" w:eastAsia="es-CO"/>
              </w:rPr>
            </w:pPr>
          </w:p>
          <w:p w14:paraId="5BB8C20B" w14:textId="77777777" w:rsidR="00305168" w:rsidRPr="00E305B4" w:rsidRDefault="00305168"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Herramienta de Riesgos</w:t>
            </w:r>
          </w:p>
        </w:tc>
      </w:tr>
      <w:tr w:rsidR="00BC0293" w:rsidRPr="00E305B4" w14:paraId="4F564C4A" w14:textId="77777777" w:rsidTr="007F5968">
        <w:trPr>
          <w:trHeight w:val="20"/>
        </w:trPr>
        <w:tc>
          <w:tcPr>
            <w:tcW w:w="840" w:type="dxa"/>
            <w:shd w:val="clear" w:color="000000" w:fill="538DD5"/>
            <w:noWrap/>
            <w:vAlign w:val="center"/>
            <w:hideMark/>
          </w:tcPr>
          <w:p w14:paraId="3F72D9F7"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8.3</w:t>
            </w:r>
          </w:p>
        </w:tc>
        <w:tc>
          <w:tcPr>
            <w:tcW w:w="10057" w:type="dxa"/>
            <w:gridSpan w:val="5"/>
            <w:shd w:val="clear" w:color="000000" w:fill="538DD5"/>
            <w:noWrap/>
            <w:vAlign w:val="center"/>
            <w:hideMark/>
          </w:tcPr>
          <w:p w14:paraId="3420BD36"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Tratamiento de riesgos de seguridad de la información</w:t>
            </w:r>
          </w:p>
        </w:tc>
        <w:tc>
          <w:tcPr>
            <w:tcW w:w="850" w:type="dxa"/>
            <w:shd w:val="clear" w:color="000000" w:fill="538DD5"/>
            <w:noWrap/>
            <w:vAlign w:val="center"/>
            <w:hideMark/>
          </w:tcPr>
          <w:p w14:paraId="67078A58"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0%</w:t>
            </w:r>
          </w:p>
        </w:tc>
        <w:tc>
          <w:tcPr>
            <w:tcW w:w="3782" w:type="dxa"/>
            <w:shd w:val="clear" w:color="000000" w:fill="538DD5"/>
            <w:noWrap/>
            <w:vAlign w:val="center"/>
            <w:hideMark/>
          </w:tcPr>
          <w:p w14:paraId="275347FC"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40FD453F"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413ED8DC" w14:textId="77777777" w:rsidTr="007F5968">
        <w:trPr>
          <w:trHeight w:val="20"/>
        </w:trPr>
        <w:tc>
          <w:tcPr>
            <w:tcW w:w="840" w:type="dxa"/>
            <w:shd w:val="clear" w:color="auto" w:fill="auto"/>
            <w:vAlign w:val="center"/>
            <w:hideMark/>
          </w:tcPr>
          <w:p w14:paraId="3CB99AE2"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8.3</w:t>
            </w:r>
          </w:p>
        </w:tc>
        <w:tc>
          <w:tcPr>
            <w:tcW w:w="1854" w:type="dxa"/>
            <w:shd w:val="clear" w:color="auto" w:fill="auto"/>
            <w:vAlign w:val="center"/>
            <w:hideMark/>
          </w:tcPr>
          <w:p w14:paraId="3777AE70"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Tratamiento de riesgos de seguridad de la información</w:t>
            </w:r>
          </w:p>
        </w:tc>
        <w:tc>
          <w:tcPr>
            <w:tcW w:w="2551" w:type="dxa"/>
            <w:shd w:val="clear" w:color="auto" w:fill="auto"/>
            <w:vAlign w:val="center"/>
            <w:hideMark/>
          </w:tcPr>
          <w:p w14:paraId="056BCC78"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organización debe implementar el plan de tratamiento de riesgos de la seguridad de la información.</w:t>
            </w:r>
          </w:p>
        </w:tc>
        <w:tc>
          <w:tcPr>
            <w:tcW w:w="1368" w:type="dxa"/>
            <w:shd w:val="clear" w:color="000000" w:fill="C00000"/>
            <w:vAlign w:val="center"/>
            <w:hideMark/>
          </w:tcPr>
          <w:p w14:paraId="138FB98A"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0BCDA17A" w14:textId="77777777" w:rsidR="007F5968" w:rsidRPr="00E305B4" w:rsidRDefault="00305168"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Para el 2019 se empezó a ejecutar </w:t>
            </w:r>
            <w:r w:rsidRPr="00E305B4">
              <w:rPr>
                <w:rFonts w:asciiTheme="majorHAnsi" w:eastAsia="Times New Roman" w:hAnsiTheme="majorHAnsi" w:cstheme="majorHAnsi"/>
                <w:color w:val="000000"/>
                <w:sz w:val="16"/>
                <w:szCs w:val="16"/>
                <w:lang w:val="es-CO" w:eastAsia="es-CO"/>
              </w:rPr>
              <w:t>el análisis de riesgos</w:t>
            </w:r>
            <w:r>
              <w:rPr>
                <w:rFonts w:asciiTheme="majorHAnsi" w:eastAsia="Times New Roman" w:hAnsiTheme="majorHAnsi" w:cstheme="majorHAnsi"/>
                <w:color w:val="000000"/>
                <w:sz w:val="16"/>
                <w:szCs w:val="16"/>
                <w:lang w:val="es-CO" w:eastAsia="es-CO"/>
              </w:rPr>
              <w:t xml:space="preserve"> y el</w:t>
            </w:r>
            <w:r w:rsidRPr="00E305B4">
              <w:rPr>
                <w:rFonts w:asciiTheme="majorHAnsi" w:eastAsia="Times New Roman" w:hAnsiTheme="majorHAnsi" w:cstheme="majorHAnsi"/>
                <w:color w:val="000000"/>
                <w:sz w:val="16"/>
                <w:szCs w:val="16"/>
                <w:lang w:val="es-CO" w:eastAsia="es-CO"/>
              </w:rPr>
              <w:t xml:space="preserve"> plan de tratamiento de riesgos, según la metodología aprobada para dicho análisis.</w:t>
            </w:r>
          </w:p>
        </w:tc>
        <w:tc>
          <w:tcPr>
            <w:tcW w:w="1038" w:type="dxa"/>
            <w:shd w:val="clear" w:color="000000" w:fill="FF0000"/>
            <w:noWrap/>
            <w:vAlign w:val="center"/>
            <w:hideMark/>
          </w:tcPr>
          <w:p w14:paraId="6AB87D97"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42B6F381" w14:textId="77777777" w:rsidR="007F5968" w:rsidRPr="00E305B4" w:rsidRDefault="00305168"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40</w:t>
            </w:r>
            <w:r w:rsidR="007F5968"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7FA87A0B"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 </w:t>
            </w:r>
            <w:r w:rsidR="00305168">
              <w:rPr>
                <w:rFonts w:asciiTheme="majorHAnsi" w:eastAsia="Times New Roman" w:hAnsiTheme="majorHAnsi" w:cstheme="majorHAnsi"/>
                <w:color w:val="000000"/>
                <w:sz w:val="16"/>
                <w:szCs w:val="16"/>
                <w:lang w:val="es-CO" w:eastAsia="es-CO"/>
              </w:rPr>
              <w:t xml:space="preserve">Para el 2019 se </w:t>
            </w:r>
            <w:r w:rsidR="00305168" w:rsidRPr="00E305B4">
              <w:rPr>
                <w:rFonts w:asciiTheme="majorHAnsi" w:eastAsia="Times New Roman" w:hAnsiTheme="majorHAnsi" w:cstheme="majorHAnsi"/>
                <w:color w:val="000000"/>
                <w:sz w:val="16"/>
                <w:szCs w:val="16"/>
                <w:lang w:val="es-CO" w:eastAsia="es-CO"/>
              </w:rPr>
              <w:t>ejecutado</w:t>
            </w:r>
            <w:r w:rsidRPr="00E305B4">
              <w:rPr>
                <w:rFonts w:asciiTheme="majorHAnsi" w:eastAsia="Times New Roman" w:hAnsiTheme="majorHAnsi" w:cstheme="majorHAnsi"/>
                <w:color w:val="000000"/>
                <w:sz w:val="16"/>
                <w:szCs w:val="16"/>
                <w:lang w:val="es-CO" w:eastAsia="es-CO"/>
              </w:rPr>
              <w:t xml:space="preserve"> el análisis de riesgos</w:t>
            </w:r>
            <w:r w:rsidR="00305168">
              <w:rPr>
                <w:rFonts w:asciiTheme="majorHAnsi" w:eastAsia="Times New Roman" w:hAnsiTheme="majorHAnsi" w:cstheme="majorHAnsi"/>
                <w:color w:val="000000"/>
                <w:sz w:val="16"/>
                <w:szCs w:val="16"/>
                <w:lang w:val="es-CO" w:eastAsia="es-CO"/>
              </w:rPr>
              <w:t xml:space="preserve"> y el</w:t>
            </w:r>
            <w:r w:rsidRPr="00E305B4">
              <w:rPr>
                <w:rFonts w:asciiTheme="majorHAnsi" w:eastAsia="Times New Roman" w:hAnsiTheme="majorHAnsi" w:cstheme="majorHAnsi"/>
                <w:color w:val="000000"/>
                <w:sz w:val="16"/>
                <w:szCs w:val="16"/>
                <w:lang w:val="es-CO" w:eastAsia="es-CO"/>
              </w:rPr>
              <w:t xml:space="preserve"> plan de tratamiento de riesgos, según la metodología aprobada para dicho análisis.</w:t>
            </w:r>
          </w:p>
        </w:tc>
        <w:tc>
          <w:tcPr>
            <w:tcW w:w="1763" w:type="dxa"/>
          </w:tcPr>
          <w:p w14:paraId="7D5F048F" w14:textId="77777777" w:rsidR="007F5968" w:rsidRPr="00E305B4" w:rsidRDefault="001E6000"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Informe del GAP</w:t>
            </w:r>
          </w:p>
        </w:tc>
      </w:tr>
      <w:tr w:rsidR="00BC0293" w:rsidRPr="00E305B4" w14:paraId="5F52FDE2" w14:textId="77777777" w:rsidTr="007F5968">
        <w:trPr>
          <w:trHeight w:val="20"/>
        </w:trPr>
        <w:tc>
          <w:tcPr>
            <w:tcW w:w="840" w:type="dxa"/>
            <w:shd w:val="clear" w:color="000000" w:fill="538DD5"/>
            <w:noWrap/>
            <w:vAlign w:val="center"/>
            <w:hideMark/>
          </w:tcPr>
          <w:p w14:paraId="231253F4"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9</w:t>
            </w:r>
          </w:p>
        </w:tc>
        <w:tc>
          <w:tcPr>
            <w:tcW w:w="10057" w:type="dxa"/>
            <w:gridSpan w:val="5"/>
            <w:shd w:val="clear" w:color="000000" w:fill="538DD5"/>
            <w:noWrap/>
            <w:vAlign w:val="center"/>
            <w:hideMark/>
          </w:tcPr>
          <w:p w14:paraId="112B7DED"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EVALUACIÓN DEL DESEMPEÑO</w:t>
            </w:r>
          </w:p>
        </w:tc>
        <w:tc>
          <w:tcPr>
            <w:tcW w:w="850" w:type="dxa"/>
            <w:shd w:val="clear" w:color="000000" w:fill="538DD5"/>
            <w:noWrap/>
            <w:vAlign w:val="center"/>
            <w:hideMark/>
          </w:tcPr>
          <w:p w14:paraId="4C8AAF1C"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7%</w:t>
            </w:r>
          </w:p>
        </w:tc>
        <w:tc>
          <w:tcPr>
            <w:tcW w:w="3782" w:type="dxa"/>
            <w:shd w:val="clear" w:color="000000" w:fill="538DD5"/>
            <w:noWrap/>
            <w:vAlign w:val="center"/>
            <w:hideMark/>
          </w:tcPr>
          <w:p w14:paraId="7F6C9FFB"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05426616"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BC0293" w:rsidRPr="00E305B4" w14:paraId="145CB8D7" w14:textId="77777777" w:rsidTr="007F5968">
        <w:trPr>
          <w:trHeight w:val="20"/>
        </w:trPr>
        <w:tc>
          <w:tcPr>
            <w:tcW w:w="840" w:type="dxa"/>
            <w:shd w:val="clear" w:color="000000" w:fill="538DD5"/>
            <w:noWrap/>
            <w:vAlign w:val="center"/>
            <w:hideMark/>
          </w:tcPr>
          <w:p w14:paraId="0DE2A12B"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9.1</w:t>
            </w:r>
          </w:p>
        </w:tc>
        <w:tc>
          <w:tcPr>
            <w:tcW w:w="10057" w:type="dxa"/>
            <w:gridSpan w:val="5"/>
            <w:shd w:val="clear" w:color="000000" w:fill="538DD5"/>
            <w:noWrap/>
            <w:vAlign w:val="center"/>
            <w:hideMark/>
          </w:tcPr>
          <w:p w14:paraId="4A4DAED6"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Monitoreo, medición, análisis y evaluación</w:t>
            </w:r>
          </w:p>
        </w:tc>
        <w:tc>
          <w:tcPr>
            <w:tcW w:w="850" w:type="dxa"/>
            <w:shd w:val="clear" w:color="000000" w:fill="538DD5"/>
            <w:noWrap/>
            <w:vAlign w:val="center"/>
            <w:hideMark/>
          </w:tcPr>
          <w:p w14:paraId="213914C5"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20%</w:t>
            </w:r>
          </w:p>
        </w:tc>
        <w:tc>
          <w:tcPr>
            <w:tcW w:w="3782" w:type="dxa"/>
            <w:shd w:val="clear" w:color="000000" w:fill="538DD5"/>
            <w:noWrap/>
            <w:vAlign w:val="center"/>
            <w:hideMark/>
          </w:tcPr>
          <w:p w14:paraId="25DE98EB"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679D308E"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673058B7" w14:textId="77777777" w:rsidTr="007F5968">
        <w:trPr>
          <w:trHeight w:val="20"/>
        </w:trPr>
        <w:tc>
          <w:tcPr>
            <w:tcW w:w="840" w:type="dxa"/>
            <w:shd w:val="clear" w:color="auto" w:fill="auto"/>
            <w:vAlign w:val="center"/>
            <w:hideMark/>
          </w:tcPr>
          <w:p w14:paraId="442BD03F"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9.1 (a)</w:t>
            </w:r>
          </w:p>
        </w:tc>
        <w:tc>
          <w:tcPr>
            <w:tcW w:w="1854" w:type="dxa"/>
            <w:vMerge w:val="restart"/>
            <w:shd w:val="clear" w:color="auto" w:fill="auto"/>
            <w:vAlign w:val="center"/>
            <w:hideMark/>
          </w:tcPr>
          <w:p w14:paraId="5FE0C6F1"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organización debe evaluar el desempeño de la seguridad de la información y la eficacia del sistema de gestión de la seguridad de la información.</w:t>
            </w:r>
            <w:r w:rsidRPr="00E305B4">
              <w:rPr>
                <w:rFonts w:asciiTheme="majorHAnsi" w:eastAsia="Times New Roman" w:hAnsiTheme="majorHAnsi" w:cstheme="majorHAnsi"/>
                <w:color w:val="000000"/>
                <w:sz w:val="16"/>
                <w:szCs w:val="16"/>
                <w:lang w:val="es-CO" w:eastAsia="es-CO"/>
              </w:rPr>
              <w:br/>
              <w:t>La organización debe determinar:</w:t>
            </w:r>
          </w:p>
        </w:tc>
        <w:tc>
          <w:tcPr>
            <w:tcW w:w="2551" w:type="dxa"/>
            <w:shd w:val="clear" w:color="auto" w:fill="auto"/>
            <w:vAlign w:val="center"/>
            <w:hideMark/>
          </w:tcPr>
          <w:p w14:paraId="4D3D0562"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 qué es necesario hacer seguimiento y qué es necesario medir, incluidos los procesos y controles de la seguridad de la información</w:t>
            </w:r>
          </w:p>
        </w:tc>
        <w:tc>
          <w:tcPr>
            <w:tcW w:w="1368" w:type="dxa"/>
            <w:shd w:val="clear" w:color="000000" w:fill="C00000"/>
            <w:vAlign w:val="center"/>
            <w:hideMark/>
          </w:tcPr>
          <w:p w14:paraId="390467C7"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790E1BB3" w14:textId="77777777" w:rsidR="007F5968" w:rsidRPr="00E305B4" w:rsidRDefault="00750099"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Se cuenta c</w:t>
            </w:r>
            <w:r w:rsidR="007F5968" w:rsidRPr="00E305B4">
              <w:rPr>
                <w:rFonts w:asciiTheme="majorHAnsi" w:eastAsia="Times New Roman" w:hAnsiTheme="majorHAnsi" w:cstheme="majorHAnsi"/>
                <w:color w:val="000000"/>
                <w:sz w:val="16"/>
                <w:szCs w:val="16"/>
                <w:lang w:val="es-CO" w:eastAsia="es-CO"/>
              </w:rPr>
              <w:t>o</w:t>
            </w:r>
            <w:r>
              <w:rPr>
                <w:rFonts w:asciiTheme="majorHAnsi" w:eastAsia="Times New Roman" w:hAnsiTheme="majorHAnsi" w:cstheme="majorHAnsi"/>
                <w:color w:val="000000"/>
                <w:sz w:val="16"/>
                <w:szCs w:val="16"/>
                <w:lang w:val="es-CO" w:eastAsia="es-CO"/>
              </w:rPr>
              <w:t>n</w:t>
            </w:r>
            <w:r w:rsidR="007F5968" w:rsidRPr="00E305B4">
              <w:rPr>
                <w:rFonts w:asciiTheme="majorHAnsi" w:eastAsia="Times New Roman" w:hAnsiTheme="majorHAnsi" w:cstheme="majorHAnsi"/>
                <w:color w:val="000000"/>
                <w:sz w:val="16"/>
                <w:szCs w:val="16"/>
                <w:lang w:val="es-CO" w:eastAsia="es-CO"/>
              </w:rPr>
              <w:t xml:space="preserve"> indicadores que permitan evaluar el desempeño de la seguridad de la información y la eficacia del sistema de gestión de la seguridad de la información en la institución</w:t>
            </w:r>
          </w:p>
        </w:tc>
        <w:tc>
          <w:tcPr>
            <w:tcW w:w="1038" w:type="dxa"/>
            <w:shd w:val="clear" w:color="000000" w:fill="FF0000"/>
            <w:noWrap/>
            <w:vAlign w:val="center"/>
            <w:hideMark/>
          </w:tcPr>
          <w:p w14:paraId="2D499D23"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7C1E0BF9" w14:textId="77777777" w:rsidR="007F5968" w:rsidRPr="00E305B4" w:rsidRDefault="00750099"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20</w:t>
            </w:r>
            <w:r w:rsidR="007F5968"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27BE3B81"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Determinar a qué es necesario hacer seguimiento y qué es necesario medir.</w:t>
            </w:r>
          </w:p>
        </w:tc>
        <w:tc>
          <w:tcPr>
            <w:tcW w:w="1763" w:type="dxa"/>
          </w:tcPr>
          <w:p w14:paraId="47FD9B01" w14:textId="77777777" w:rsidR="007F5968" w:rsidRPr="00E305B4" w:rsidRDefault="001E6000"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Informe del GAP</w:t>
            </w:r>
          </w:p>
        </w:tc>
      </w:tr>
      <w:tr w:rsidR="00274728" w:rsidRPr="00E305B4" w14:paraId="4768A820" w14:textId="77777777" w:rsidTr="007F5968">
        <w:trPr>
          <w:trHeight w:val="20"/>
        </w:trPr>
        <w:tc>
          <w:tcPr>
            <w:tcW w:w="840" w:type="dxa"/>
            <w:shd w:val="clear" w:color="auto" w:fill="auto"/>
            <w:vAlign w:val="center"/>
            <w:hideMark/>
          </w:tcPr>
          <w:p w14:paraId="44C85F23"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9.1 (b)</w:t>
            </w:r>
          </w:p>
        </w:tc>
        <w:tc>
          <w:tcPr>
            <w:tcW w:w="1854" w:type="dxa"/>
            <w:vMerge/>
            <w:vAlign w:val="center"/>
            <w:hideMark/>
          </w:tcPr>
          <w:p w14:paraId="55F6A8D1"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72B7315D"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los métodos de seguimiento, medición, análisis y evaluación, según sea aplicable, para asegurar resultados válidos</w:t>
            </w:r>
          </w:p>
        </w:tc>
        <w:tc>
          <w:tcPr>
            <w:tcW w:w="1368" w:type="dxa"/>
            <w:shd w:val="clear" w:color="000000" w:fill="C00000"/>
            <w:vAlign w:val="center"/>
            <w:hideMark/>
          </w:tcPr>
          <w:p w14:paraId="78EDBC03"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5352A96A" w14:textId="77777777" w:rsidR="007F5968" w:rsidRPr="00E305B4" w:rsidRDefault="00750099"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Se cuenta c</w:t>
            </w:r>
            <w:r w:rsidRPr="00E305B4">
              <w:rPr>
                <w:rFonts w:asciiTheme="majorHAnsi" w:eastAsia="Times New Roman" w:hAnsiTheme="majorHAnsi" w:cstheme="majorHAnsi"/>
                <w:color w:val="000000"/>
                <w:sz w:val="16"/>
                <w:szCs w:val="16"/>
                <w:lang w:val="es-CO" w:eastAsia="es-CO"/>
              </w:rPr>
              <w:t>o</w:t>
            </w:r>
            <w:r>
              <w:rPr>
                <w:rFonts w:asciiTheme="majorHAnsi" w:eastAsia="Times New Roman" w:hAnsiTheme="majorHAnsi" w:cstheme="majorHAnsi"/>
                <w:color w:val="000000"/>
                <w:sz w:val="16"/>
                <w:szCs w:val="16"/>
                <w:lang w:val="es-CO" w:eastAsia="es-CO"/>
              </w:rPr>
              <w:t>n</w:t>
            </w:r>
            <w:r w:rsidRPr="00E305B4">
              <w:rPr>
                <w:rFonts w:asciiTheme="majorHAnsi" w:eastAsia="Times New Roman" w:hAnsiTheme="majorHAnsi" w:cstheme="majorHAnsi"/>
                <w:color w:val="000000"/>
                <w:sz w:val="16"/>
                <w:szCs w:val="16"/>
                <w:lang w:val="es-CO" w:eastAsia="es-CO"/>
              </w:rPr>
              <w:t xml:space="preserve"> </w:t>
            </w:r>
            <w:r w:rsidR="001E6000" w:rsidRPr="00E305B4">
              <w:rPr>
                <w:rFonts w:asciiTheme="majorHAnsi" w:eastAsia="Times New Roman" w:hAnsiTheme="majorHAnsi" w:cstheme="majorHAnsi"/>
                <w:color w:val="000000"/>
                <w:sz w:val="16"/>
                <w:szCs w:val="16"/>
                <w:lang w:val="es-CO" w:eastAsia="es-CO"/>
              </w:rPr>
              <w:t>indicadores que</w:t>
            </w:r>
            <w:r w:rsidR="007F5968" w:rsidRPr="00E305B4">
              <w:rPr>
                <w:rFonts w:asciiTheme="majorHAnsi" w:eastAsia="Times New Roman" w:hAnsiTheme="majorHAnsi" w:cstheme="majorHAnsi"/>
                <w:color w:val="000000"/>
                <w:sz w:val="16"/>
                <w:szCs w:val="16"/>
                <w:lang w:val="es-CO" w:eastAsia="es-CO"/>
              </w:rPr>
              <w:t xml:space="preserve"> permitan evaluar el desempeño de la seguridad de la información y la eficacia del sistema de gestión de la seguridad de la información en la institución</w:t>
            </w:r>
          </w:p>
        </w:tc>
        <w:tc>
          <w:tcPr>
            <w:tcW w:w="1038" w:type="dxa"/>
            <w:shd w:val="clear" w:color="000000" w:fill="FF0000"/>
            <w:noWrap/>
            <w:vAlign w:val="center"/>
            <w:hideMark/>
          </w:tcPr>
          <w:p w14:paraId="253A17C2"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40AE358F" w14:textId="77777777" w:rsidR="007F5968" w:rsidRPr="00E305B4" w:rsidRDefault="001E6000"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0</w:t>
            </w:r>
            <w:r w:rsidR="007F5968"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76497EBF"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Determinar los métodos de seguimiento, medición, análisis y evaluación</w:t>
            </w:r>
            <w:r w:rsidRPr="00E305B4">
              <w:rPr>
                <w:rFonts w:asciiTheme="majorHAnsi" w:eastAsia="Times New Roman" w:hAnsiTheme="majorHAnsi" w:cstheme="majorHAnsi"/>
                <w:color w:val="000000"/>
                <w:sz w:val="16"/>
                <w:szCs w:val="16"/>
                <w:lang w:val="es-CO" w:eastAsia="es-CO"/>
              </w:rPr>
              <w:br/>
              <w:t>* Definir métricas o indicadores del SGSI.</w:t>
            </w:r>
          </w:p>
        </w:tc>
        <w:tc>
          <w:tcPr>
            <w:tcW w:w="1763" w:type="dxa"/>
          </w:tcPr>
          <w:p w14:paraId="7C905062" w14:textId="77777777" w:rsidR="007F5968" w:rsidRPr="00E305B4" w:rsidRDefault="001E6000"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GAP, indicadores </w:t>
            </w:r>
          </w:p>
        </w:tc>
      </w:tr>
      <w:tr w:rsidR="00274728" w:rsidRPr="00E305B4" w14:paraId="79746EDC" w14:textId="77777777" w:rsidTr="007F5968">
        <w:trPr>
          <w:trHeight w:val="20"/>
        </w:trPr>
        <w:tc>
          <w:tcPr>
            <w:tcW w:w="840" w:type="dxa"/>
            <w:shd w:val="clear" w:color="auto" w:fill="auto"/>
            <w:vAlign w:val="center"/>
            <w:hideMark/>
          </w:tcPr>
          <w:p w14:paraId="1506BC74"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9.1 (c)</w:t>
            </w:r>
          </w:p>
        </w:tc>
        <w:tc>
          <w:tcPr>
            <w:tcW w:w="1854" w:type="dxa"/>
            <w:vMerge/>
            <w:vAlign w:val="center"/>
            <w:hideMark/>
          </w:tcPr>
          <w:p w14:paraId="3E78660A"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2BEF5471"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cuando se deben llevar a cabo el seguimiento y la medición</w:t>
            </w:r>
          </w:p>
        </w:tc>
        <w:tc>
          <w:tcPr>
            <w:tcW w:w="1368" w:type="dxa"/>
            <w:shd w:val="clear" w:color="000000" w:fill="C00000"/>
            <w:vAlign w:val="center"/>
            <w:hideMark/>
          </w:tcPr>
          <w:p w14:paraId="17873F7B"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3A9B0FA6"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1E6000">
              <w:rPr>
                <w:rFonts w:asciiTheme="majorHAnsi" w:eastAsia="Times New Roman" w:hAnsiTheme="majorHAnsi" w:cstheme="majorHAnsi"/>
                <w:color w:val="000000"/>
                <w:sz w:val="16"/>
                <w:szCs w:val="16"/>
                <w:highlight w:val="red"/>
                <w:lang w:val="es-CO" w:eastAsia="es-CO"/>
              </w:rPr>
              <w:t>No se tienen tiempos establecidos para hacer el seguimiento y la medición del sistema de gestión de seguridad de la información</w:t>
            </w:r>
          </w:p>
        </w:tc>
        <w:tc>
          <w:tcPr>
            <w:tcW w:w="1038" w:type="dxa"/>
            <w:shd w:val="clear" w:color="000000" w:fill="FF0000"/>
            <w:noWrap/>
            <w:vAlign w:val="center"/>
            <w:hideMark/>
          </w:tcPr>
          <w:p w14:paraId="69B43575"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4173C7C2"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11C339CB"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Determinar cuándo se debe llevar a cabo el seguimiento y la medición.</w:t>
            </w:r>
          </w:p>
        </w:tc>
        <w:tc>
          <w:tcPr>
            <w:tcW w:w="1763" w:type="dxa"/>
          </w:tcPr>
          <w:p w14:paraId="098CCBD5" w14:textId="77777777" w:rsidR="007F5968" w:rsidRPr="00E305B4" w:rsidRDefault="001E6000" w:rsidP="000F099B">
            <w:pPr>
              <w:rPr>
                <w:rFonts w:asciiTheme="majorHAnsi" w:eastAsia="Times New Roman" w:hAnsiTheme="majorHAnsi" w:cstheme="majorHAnsi"/>
                <w:color w:val="000000"/>
                <w:sz w:val="16"/>
                <w:szCs w:val="16"/>
                <w:lang w:val="es-CO" w:eastAsia="es-CO"/>
              </w:rPr>
            </w:pPr>
            <w:r w:rsidRPr="001E6000">
              <w:rPr>
                <w:rFonts w:asciiTheme="majorHAnsi" w:eastAsia="Times New Roman" w:hAnsiTheme="majorHAnsi" w:cstheme="majorHAnsi"/>
                <w:color w:val="000000"/>
                <w:sz w:val="16"/>
                <w:szCs w:val="16"/>
                <w:highlight w:val="red"/>
                <w:lang w:val="es-CO" w:eastAsia="es-CO"/>
              </w:rPr>
              <w:t>PENDIENTE</w:t>
            </w:r>
            <w:r>
              <w:rPr>
                <w:rFonts w:asciiTheme="majorHAnsi" w:eastAsia="Times New Roman" w:hAnsiTheme="majorHAnsi" w:cstheme="majorHAnsi"/>
                <w:color w:val="000000"/>
                <w:sz w:val="16"/>
                <w:szCs w:val="16"/>
                <w:lang w:val="es-CO" w:eastAsia="es-CO"/>
              </w:rPr>
              <w:t xml:space="preserve"> </w:t>
            </w:r>
          </w:p>
        </w:tc>
      </w:tr>
      <w:tr w:rsidR="00274728" w:rsidRPr="00E305B4" w14:paraId="5E43EC45" w14:textId="77777777" w:rsidTr="007F5968">
        <w:trPr>
          <w:trHeight w:val="20"/>
        </w:trPr>
        <w:tc>
          <w:tcPr>
            <w:tcW w:w="840" w:type="dxa"/>
            <w:shd w:val="clear" w:color="auto" w:fill="auto"/>
            <w:vAlign w:val="center"/>
            <w:hideMark/>
          </w:tcPr>
          <w:p w14:paraId="02CDEEE1"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9.1 (d)</w:t>
            </w:r>
          </w:p>
        </w:tc>
        <w:tc>
          <w:tcPr>
            <w:tcW w:w="1854" w:type="dxa"/>
            <w:vMerge/>
            <w:vAlign w:val="center"/>
            <w:hideMark/>
          </w:tcPr>
          <w:p w14:paraId="3151D214"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2AF526C8"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quién debe llevar a cabo el seguimiento y la medición</w:t>
            </w:r>
          </w:p>
        </w:tc>
        <w:tc>
          <w:tcPr>
            <w:tcW w:w="1368" w:type="dxa"/>
            <w:shd w:val="clear" w:color="000000" w:fill="008000"/>
            <w:vAlign w:val="center"/>
            <w:hideMark/>
          </w:tcPr>
          <w:p w14:paraId="19DD8526"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6249C903"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En la Resolución </w:t>
            </w:r>
            <w:r w:rsidR="001E6000">
              <w:rPr>
                <w:rFonts w:asciiTheme="majorHAnsi" w:eastAsia="Times New Roman" w:hAnsiTheme="majorHAnsi" w:cstheme="majorHAnsi"/>
                <w:color w:val="000000"/>
                <w:sz w:val="16"/>
                <w:szCs w:val="16"/>
                <w:lang w:val="es-CO" w:eastAsia="es-CO"/>
              </w:rPr>
              <w:t>0186</w:t>
            </w:r>
            <w:r w:rsidRPr="00E305B4">
              <w:rPr>
                <w:rFonts w:asciiTheme="majorHAnsi" w:eastAsia="Times New Roman" w:hAnsiTheme="majorHAnsi" w:cstheme="majorHAnsi"/>
                <w:color w:val="000000"/>
                <w:sz w:val="16"/>
                <w:szCs w:val="16"/>
                <w:lang w:val="es-CO" w:eastAsia="es-CO"/>
              </w:rPr>
              <w:t xml:space="preserve"> de 201</w:t>
            </w:r>
            <w:r w:rsidR="001E6000">
              <w:rPr>
                <w:rFonts w:asciiTheme="majorHAnsi" w:eastAsia="Times New Roman" w:hAnsiTheme="majorHAnsi" w:cstheme="majorHAnsi"/>
                <w:color w:val="000000"/>
                <w:sz w:val="16"/>
                <w:szCs w:val="16"/>
                <w:lang w:val="es-CO" w:eastAsia="es-CO"/>
              </w:rPr>
              <w:t>9</w:t>
            </w:r>
            <w:r w:rsidRPr="00E305B4">
              <w:rPr>
                <w:rFonts w:asciiTheme="majorHAnsi" w:eastAsia="Times New Roman" w:hAnsiTheme="majorHAnsi" w:cstheme="majorHAnsi"/>
                <w:color w:val="000000"/>
                <w:sz w:val="16"/>
                <w:szCs w:val="16"/>
                <w:lang w:val="es-CO" w:eastAsia="es-CO"/>
              </w:rPr>
              <w:t xml:space="preserve">, el director general aprueba la actualización de la política de seguridad de la información, la cual incluye: objetivos de la seguridad de la información, alcance, políticas específicas, </w:t>
            </w:r>
            <w:r w:rsidRPr="00E305B4">
              <w:rPr>
                <w:rFonts w:asciiTheme="majorHAnsi" w:eastAsia="Times New Roman" w:hAnsiTheme="majorHAnsi" w:cstheme="majorHAnsi"/>
                <w:color w:val="000000"/>
                <w:sz w:val="16"/>
                <w:szCs w:val="16"/>
                <w:lang w:val="es-CO" w:eastAsia="es-CO"/>
              </w:rPr>
              <w:lastRenderedPageBreak/>
              <w:t>responsables.</w:t>
            </w:r>
          </w:p>
        </w:tc>
        <w:tc>
          <w:tcPr>
            <w:tcW w:w="1038" w:type="dxa"/>
            <w:shd w:val="clear" w:color="000000" w:fill="00B0F0"/>
            <w:noWrap/>
            <w:vAlign w:val="center"/>
            <w:hideMark/>
          </w:tcPr>
          <w:p w14:paraId="43B1597F"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lastRenderedPageBreak/>
              <w:t>Definido</w:t>
            </w:r>
          </w:p>
        </w:tc>
        <w:tc>
          <w:tcPr>
            <w:tcW w:w="850" w:type="dxa"/>
            <w:shd w:val="clear" w:color="auto" w:fill="auto"/>
            <w:noWrap/>
            <w:vAlign w:val="center"/>
            <w:hideMark/>
          </w:tcPr>
          <w:p w14:paraId="05C33C13" w14:textId="77777777" w:rsidR="007F5968" w:rsidRPr="00E305B4" w:rsidRDefault="001E6000"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8</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2DE45DB3"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Determinar quién debe llevar a cabo el seguimiento y la medición.</w:t>
            </w:r>
          </w:p>
        </w:tc>
        <w:tc>
          <w:tcPr>
            <w:tcW w:w="1763" w:type="dxa"/>
          </w:tcPr>
          <w:p w14:paraId="2CEB69BB"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7A29DAE2" w14:textId="77777777" w:rsidTr="007F5968">
        <w:trPr>
          <w:trHeight w:val="20"/>
        </w:trPr>
        <w:tc>
          <w:tcPr>
            <w:tcW w:w="840" w:type="dxa"/>
            <w:shd w:val="clear" w:color="auto" w:fill="auto"/>
            <w:vAlign w:val="center"/>
            <w:hideMark/>
          </w:tcPr>
          <w:p w14:paraId="6ECBFBE3"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9.1 (e)</w:t>
            </w:r>
          </w:p>
        </w:tc>
        <w:tc>
          <w:tcPr>
            <w:tcW w:w="1854" w:type="dxa"/>
            <w:vMerge/>
            <w:vAlign w:val="center"/>
            <w:hideMark/>
          </w:tcPr>
          <w:p w14:paraId="228B3817"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51F39150"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cuando se deben analizar y evaluar los resultados del seguimiento y de la medición; y</w:t>
            </w:r>
          </w:p>
        </w:tc>
        <w:tc>
          <w:tcPr>
            <w:tcW w:w="1368" w:type="dxa"/>
            <w:shd w:val="clear" w:color="000000" w:fill="C00000"/>
            <w:vAlign w:val="center"/>
            <w:hideMark/>
          </w:tcPr>
          <w:p w14:paraId="081A846E"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7C5725AE"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1E6000">
              <w:rPr>
                <w:rFonts w:asciiTheme="majorHAnsi" w:eastAsia="Times New Roman" w:hAnsiTheme="majorHAnsi" w:cstheme="majorHAnsi"/>
                <w:color w:val="000000"/>
                <w:sz w:val="16"/>
                <w:szCs w:val="16"/>
                <w:highlight w:val="red"/>
                <w:lang w:val="es-CO" w:eastAsia="es-CO"/>
              </w:rPr>
              <w:t>No se tienen tiempos establecidos para analizar y evaluar los resultados del seguimiento y la medición</w:t>
            </w:r>
          </w:p>
        </w:tc>
        <w:tc>
          <w:tcPr>
            <w:tcW w:w="1038" w:type="dxa"/>
            <w:shd w:val="clear" w:color="000000" w:fill="FF0000"/>
            <w:noWrap/>
            <w:vAlign w:val="center"/>
            <w:hideMark/>
          </w:tcPr>
          <w:p w14:paraId="364D8D7B"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58397888"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2FD1D2DF"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Determinar cuándo se deben analizar y evaluar los resultados del seguimiento y de la medición.</w:t>
            </w:r>
          </w:p>
        </w:tc>
        <w:tc>
          <w:tcPr>
            <w:tcW w:w="1763" w:type="dxa"/>
          </w:tcPr>
          <w:p w14:paraId="1F938A35"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14C2BAFD" w14:textId="77777777" w:rsidTr="007F5968">
        <w:trPr>
          <w:trHeight w:val="20"/>
        </w:trPr>
        <w:tc>
          <w:tcPr>
            <w:tcW w:w="840" w:type="dxa"/>
            <w:shd w:val="clear" w:color="auto" w:fill="auto"/>
            <w:vAlign w:val="center"/>
            <w:hideMark/>
          </w:tcPr>
          <w:p w14:paraId="32BF02D1"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9.1 (f)</w:t>
            </w:r>
          </w:p>
        </w:tc>
        <w:tc>
          <w:tcPr>
            <w:tcW w:w="1854" w:type="dxa"/>
            <w:vMerge/>
            <w:vAlign w:val="center"/>
            <w:hideMark/>
          </w:tcPr>
          <w:p w14:paraId="64DBE95C"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63945BAA"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quién debe analizar y evaluar estos resultados.</w:t>
            </w:r>
          </w:p>
        </w:tc>
        <w:tc>
          <w:tcPr>
            <w:tcW w:w="1368" w:type="dxa"/>
            <w:shd w:val="clear" w:color="000000" w:fill="008000"/>
            <w:vAlign w:val="center"/>
            <w:hideMark/>
          </w:tcPr>
          <w:p w14:paraId="4D8D8284"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SI</w:t>
            </w:r>
          </w:p>
        </w:tc>
        <w:tc>
          <w:tcPr>
            <w:tcW w:w="3246" w:type="dxa"/>
            <w:shd w:val="clear" w:color="auto" w:fill="auto"/>
            <w:vAlign w:val="center"/>
            <w:hideMark/>
          </w:tcPr>
          <w:p w14:paraId="48D4E229"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En la Resolución </w:t>
            </w:r>
            <w:r w:rsidR="001E6000">
              <w:rPr>
                <w:rFonts w:asciiTheme="majorHAnsi" w:eastAsia="Times New Roman" w:hAnsiTheme="majorHAnsi" w:cstheme="majorHAnsi"/>
                <w:color w:val="000000"/>
                <w:sz w:val="16"/>
                <w:szCs w:val="16"/>
                <w:lang w:val="es-CO" w:eastAsia="es-CO"/>
              </w:rPr>
              <w:t>0186</w:t>
            </w:r>
            <w:r w:rsidRPr="00E305B4">
              <w:rPr>
                <w:rFonts w:asciiTheme="majorHAnsi" w:eastAsia="Times New Roman" w:hAnsiTheme="majorHAnsi" w:cstheme="majorHAnsi"/>
                <w:color w:val="000000"/>
                <w:sz w:val="16"/>
                <w:szCs w:val="16"/>
                <w:lang w:val="es-CO" w:eastAsia="es-CO"/>
              </w:rPr>
              <w:t xml:space="preserve"> de 201</w:t>
            </w:r>
            <w:r w:rsidR="001E6000">
              <w:rPr>
                <w:rFonts w:asciiTheme="majorHAnsi" w:eastAsia="Times New Roman" w:hAnsiTheme="majorHAnsi" w:cstheme="majorHAnsi"/>
                <w:color w:val="000000"/>
                <w:sz w:val="16"/>
                <w:szCs w:val="16"/>
                <w:lang w:val="es-CO" w:eastAsia="es-CO"/>
              </w:rPr>
              <w:t>9</w:t>
            </w:r>
            <w:r w:rsidRPr="00E305B4">
              <w:rPr>
                <w:rFonts w:asciiTheme="majorHAnsi" w:eastAsia="Times New Roman" w:hAnsiTheme="majorHAnsi" w:cstheme="majorHAnsi"/>
                <w:color w:val="000000"/>
                <w:sz w:val="16"/>
                <w:szCs w:val="16"/>
                <w:lang w:val="es-CO" w:eastAsia="es-CO"/>
              </w:rPr>
              <w:t>, el director general aprueba la actualización de la política de seguridad de la información, la cual incluye: objetivos de la seguridad de la información, alcance, políticas específicas, responsables.</w:t>
            </w:r>
          </w:p>
        </w:tc>
        <w:tc>
          <w:tcPr>
            <w:tcW w:w="1038" w:type="dxa"/>
            <w:shd w:val="clear" w:color="000000" w:fill="00B0F0"/>
            <w:noWrap/>
            <w:vAlign w:val="center"/>
            <w:hideMark/>
          </w:tcPr>
          <w:p w14:paraId="29F5216D"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Definido</w:t>
            </w:r>
          </w:p>
        </w:tc>
        <w:tc>
          <w:tcPr>
            <w:tcW w:w="850" w:type="dxa"/>
            <w:shd w:val="clear" w:color="auto" w:fill="auto"/>
            <w:noWrap/>
            <w:vAlign w:val="center"/>
            <w:hideMark/>
          </w:tcPr>
          <w:p w14:paraId="3C1026F8" w14:textId="77777777" w:rsidR="007F5968" w:rsidRPr="00E305B4" w:rsidRDefault="001E6000"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8</w:t>
            </w:r>
            <w:r w:rsidR="007F5968"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52B3BFCD"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Determinar quién debe analizar y evaluar estos resultados.</w:t>
            </w:r>
          </w:p>
        </w:tc>
        <w:tc>
          <w:tcPr>
            <w:tcW w:w="1763" w:type="dxa"/>
          </w:tcPr>
          <w:p w14:paraId="54D1EECB"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BC0293" w:rsidRPr="00E305B4" w14:paraId="0F8C1888" w14:textId="77777777" w:rsidTr="007F5968">
        <w:trPr>
          <w:trHeight w:val="20"/>
        </w:trPr>
        <w:tc>
          <w:tcPr>
            <w:tcW w:w="840" w:type="dxa"/>
            <w:shd w:val="clear" w:color="000000" w:fill="538DD5"/>
            <w:noWrap/>
            <w:vAlign w:val="center"/>
            <w:hideMark/>
          </w:tcPr>
          <w:p w14:paraId="0D8C3C34"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9.2</w:t>
            </w:r>
          </w:p>
        </w:tc>
        <w:tc>
          <w:tcPr>
            <w:tcW w:w="10057" w:type="dxa"/>
            <w:gridSpan w:val="5"/>
            <w:shd w:val="clear" w:color="000000" w:fill="538DD5"/>
            <w:noWrap/>
            <w:vAlign w:val="center"/>
            <w:hideMark/>
          </w:tcPr>
          <w:p w14:paraId="57EE4485"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Seguimiento, medición, análisis y evaluación</w:t>
            </w:r>
          </w:p>
        </w:tc>
        <w:tc>
          <w:tcPr>
            <w:tcW w:w="850" w:type="dxa"/>
            <w:shd w:val="clear" w:color="000000" w:fill="538DD5"/>
            <w:noWrap/>
            <w:vAlign w:val="center"/>
            <w:hideMark/>
          </w:tcPr>
          <w:p w14:paraId="6AC793E8"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0%</w:t>
            </w:r>
          </w:p>
        </w:tc>
        <w:tc>
          <w:tcPr>
            <w:tcW w:w="3782" w:type="dxa"/>
            <w:shd w:val="clear" w:color="000000" w:fill="538DD5"/>
            <w:noWrap/>
            <w:vAlign w:val="center"/>
            <w:hideMark/>
          </w:tcPr>
          <w:p w14:paraId="05821336"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6A27AFB1"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5AC6B1BA" w14:textId="77777777" w:rsidTr="007F5968">
        <w:trPr>
          <w:trHeight w:val="20"/>
        </w:trPr>
        <w:tc>
          <w:tcPr>
            <w:tcW w:w="840" w:type="dxa"/>
            <w:shd w:val="clear" w:color="auto" w:fill="auto"/>
            <w:vAlign w:val="center"/>
            <w:hideMark/>
          </w:tcPr>
          <w:p w14:paraId="0C95DD38"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9.2 (a)</w:t>
            </w:r>
          </w:p>
        </w:tc>
        <w:tc>
          <w:tcPr>
            <w:tcW w:w="1854" w:type="dxa"/>
            <w:vMerge w:val="restart"/>
            <w:shd w:val="clear" w:color="auto" w:fill="auto"/>
            <w:vAlign w:val="center"/>
            <w:hideMark/>
          </w:tcPr>
          <w:p w14:paraId="6C546F94"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organización debe llevar a cabo auditorías internas a intervalos planificados, para proporcionar información acerca de si el sistema de gestión de la seguridad de la información:</w:t>
            </w:r>
          </w:p>
        </w:tc>
        <w:tc>
          <w:tcPr>
            <w:tcW w:w="2551" w:type="dxa"/>
            <w:shd w:val="clear" w:color="auto" w:fill="auto"/>
            <w:vAlign w:val="center"/>
            <w:hideMark/>
          </w:tcPr>
          <w:p w14:paraId="7E49707B"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es conforme con:</w:t>
            </w:r>
            <w:r w:rsidRPr="00E305B4">
              <w:rPr>
                <w:rFonts w:asciiTheme="majorHAnsi" w:eastAsia="Times New Roman" w:hAnsiTheme="majorHAnsi" w:cstheme="majorHAnsi"/>
                <w:color w:val="000000"/>
                <w:sz w:val="16"/>
                <w:szCs w:val="16"/>
                <w:lang w:val="es-CO" w:eastAsia="es-CO"/>
              </w:rPr>
              <w:br/>
              <w:t>1) los propios requisitos de la organización para su sistema de gestión de la seguridad de la información; y</w:t>
            </w:r>
            <w:r w:rsidRPr="00E305B4">
              <w:rPr>
                <w:rFonts w:asciiTheme="majorHAnsi" w:eastAsia="Times New Roman" w:hAnsiTheme="majorHAnsi" w:cstheme="majorHAnsi"/>
                <w:color w:val="000000"/>
                <w:sz w:val="16"/>
                <w:szCs w:val="16"/>
                <w:lang w:val="es-CO" w:eastAsia="es-CO"/>
              </w:rPr>
              <w:br/>
              <w:t>2) los requisitos de esta Norma Internacional</w:t>
            </w:r>
          </w:p>
        </w:tc>
        <w:tc>
          <w:tcPr>
            <w:tcW w:w="1368" w:type="dxa"/>
            <w:shd w:val="clear" w:color="000000" w:fill="C00000"/>
            <w:vAlign w:val="center"/>
            <w:hideMark/>
          </w:tcPr>
          <w:p w14:paraId="626D184A"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0E49C798"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No se han llevado a cabo auditorías al sistema de gestión de la seguridad de la información</w:t>
            </w:r>
          </w:p>
        </w:tc>
        <w:tc>
          <w:tcPr>
            <w:tcW w:w="1038" w:type="dxa"/>
            <w:shd w:val="clear" w:color="000000" w:fill="FF0000"/>
            <w:noWrap/>
            <w:vAlign w:val="center"/>
            <w:hideMark/>
          </w:tcPr>
          <w:p w14:paraId="3F7ADD99"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67940614"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34BA22C1"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Realizar auditorías periódicas al sistema de gestión de seguridad de la información y protección de datos personales para asegurar conformidad con los requisitos de la organización y de esta esta norma internacional.</w:t>
            </w:r>
          </w:p>
        </w:tc>
        <w:tc>
          <w:tcPr>
            <w:tcW w:w="1763" w:type="dxa"/>
          </w:tcPr>
          <w:p w14:paraId="63D418C2" w14:textId="77777777" w:rsidR="007F5968" w:rsidRPr="00E305B4" w:rsidRDefault="001E6000" w:rsidP="000F099B">
            <w:pPr>
              <w:rPr>
                <w:rFonts w:asciiTheme="majorHAnsi" w:eastAsia="Times New Roman" w:hAnsiTheme="majorHAnsi" w:cstheme="majorHAnsi"/>
                <w:color w:val="000000"/>
                <w:sz w:val="16"/>
                <w:szCs w:val="16"/>
                <w:lang w:val="es-CO" w:eastAsia="es-CO"/>
              </w:rPr>
            </w:pPr>
            <w:r w:rsidRPr="001E6000">
              <w:rPr>
                <w:rFonts w:asciiTheme="majorHAnsi" w:eastAsia="Times New Roman" w:hAnsiTheme="majorHAnsi" w:cstheme="majorHAnsi"/>
                <w:color w:val="000000"/>
                <w:sz w:val="16"/>
                <w:szCs w:val="16"/>
                <w:highlight w:val="red"/>
                <w:lang w:val="es-CO" w:eastAsia="es-CO"/>
              </w:rPr>
              <w:t>Falta la auditoria de documentación</w:t>
            </w:r>
            <w:r>
              <w:rPr>
                <w:rFonts w:asciiTheme="majorHAnsi" w:eastAsia="Times New Roman" w:hAnsiTheme="majorHAnsi" w:cstheme="majorHAnsi"/>
                <w:color w:val="000000"/>
                <w:sz w:val="16"/>
                <w:szCs w:val="16"/>
                <w:lang w:val="es-CO" w:eastAsia="es-CO"/>
              </w:rPr>
              <w:t xml:space="preserve"> </w:t>
            </w:r>
          </w:p>
        </w:tc>
      </w:tr>
      <w:tr w:rsidR="00274728" w:rsidRPr="00E305B4" w14:paraId="0614CF2A" w14:textId="77777777" w:rsidTr="007F5968">
        <w:trPr>
          <w:trHeight w:val="20"/>
        </w:trPr>
        <w:tc>
          <w:tcPr>
            <w:tcW w:w="840" w:type="dxa"/>
            <w:shd w:val="clear" w:color="auto" w:fill="auto"/>
            <w:vAlign w:val="center"/>
            <w:hideMark/>
          </w:tcPr>
          <w:p w14:paraId="139D11F4"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9.2 (b)</w:t>
            </w:r>
          </w:p>
        </w:tc>
        <w:tc>
          <w:tcPr>
            <w:tcW w:w="1854" w:type="dxa"/>
            <w:vMerge/>
            <w:vAlign w:val="center"/>
            <w:hideMark/>
          </w:tcPr>
          <w:p w14:paraId="0BC667E7"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558CCD7A"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está implementado y mantenido eficazmente.</w:t>
            </w:r>
          </w:p>
        </w:tc>
        <w:tc>
          <w:tcPr>
            <w:tcW w:w="1368" w:type="dxa"/>
            <w:shd w:val="clear" w:color="000000" w:fill="C00000"/>
            <w:vAlign w:val="center"/>
            <w:hideMark/>
          </w:tcPr>
          <w:p w14:paraId="15B3A2E1"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277C583F"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No se han llevado a cabo auditorías al sistema de gestión de la seguridad de la información</w:t>
            </w:r>
          </w:p>
        </w:tc>
        <w:tc>
          <w:tcPr>
            <w:tcW w:w="1038" w:type="dxa"/>
            <w:shd w:val="clear" w:color="000000" w:fill="FF0000"/>
            <w:noWrap/>
            <w:vAlign w:val="center"/>
            <w:hideMark/>
          </w:tcPr>
          <w:p w14:paraId="68523FCD"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36669049"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17BA212E"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Realizar auditorías periódicas al sistema de gestión de seguridad de la información y protección de datos personales para asegurar que está implementado y mantenido eficazmente.</w:t>
            </w:r>
          </w:p>
        </w:tc>
        <w:tc>
          <w:tcPr>
            <w:tcW w:w="1763" w:type="dxa"/>
          </w:tcPr>
          <w:p w14:paraId="5A97A153"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709B2EF7" w14:textId="77777777" w:rsidTr="007F5968">
        <w:trPr>
          <w:trHeight w:val="20"/>
        </w:trPr>
        <w:tc>
          <w:tcPr>
            <w:tcW w:w="840" w:type="dxa"/>
            <w:shd w:val="clear" w:color="auto" w:fill="auto"/>
            <w:vAlign w:val="center"/>
            <w:hideMark/>
          </w:tcPr>
          <w:p w14:paraId="675C21D9"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9.2 (c)</w:t>
            </w:r>
          </w:p>
        </w:tc>
        <w:tc>
          <w:tcPr>
            <w:tcW w:w="1854" w:type="dxa"/>
            <w:vMerge w:val="restart"/>
            <w:shd w:val="clear" w:color="auto" w:fill="auto"/>
            <w:vAlign w:val="center"/>
            <w:hideMark/>
          </w:tcPr>
          <w:p w14:paraId="548B6663"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organización debe:</w:t>
            </w:r>
          </w:p>
        </w:tc>
        <w:tc>
          <w:tcPr>
            <w:tcW w:w="2551" w:type="dxa"/>
            <w:shd w:val="clear" w:color="auto" w:fill="auto"/>
            <w:vAlign w:val="center"/>
            <w:hideMark/>
          </w:tcPr>
          <w:p w14:paraId="02E3B4AB"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planificar, establecer, implementar y mantener uno o varios programas de auditoría que incluyan la frecuencia, los métodos, las responsabilidades, los requisitos de planificación, y la elaboración de informes. Los programas de auditoría deben tener en cuenta la importancia de los procesos involucrados y los resultados de las auditorías previas</w:t>
            </w:r>
          </w:p>
        </w:tc>
        <w:tc>
          <w:tcPr>
            <w:tcW w:w="1368" w:type="dxa"/>
            <w:shd w:val="clear" w:color="000000" w:fill="C00000"/>
            <w:vAlign w:val="center"/>
            <w:hideMark/>
          </w:tcPr>
          <w:p w14:paraId="7496A948"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52E932F5"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No se han llevado a cabo auditorías al sistema de gestión de la seguridad de la información</w:t>
            </w:r>
          </w:p>
        </w:tc>
        <w:tc>
          <w:tcPr>
            <w:tcW w:w="1038" w:type="dxa"/>
            <w:shd w:val="clear" w:color="000000" w:fill="FF0000"/>
            <w:noWrap/>
            <w:vAlign w:val="center"/>
            <w:hideMark/>
          </w:tcPr>
          <w:p w14:paraId="5754BEE3"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692BFB28"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574F0E90"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La organización debe planificar, establecer, implementar y mantener un programa de auditoría para el sistema de gestión de seguridad de la información y protección de datos personales </w:t>
            </w:r>
          </w:p>
        </w:tc>
        <w:tc>
          <w:tcPr>
            <w:tcW w:w="1763" w:type="dxa"/>
          </w:tcPr>
          <w:p w14:paraId="0EEE8CC6"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11A1903D" w14:textId="77777777" w:rsidTr="007F5968">
        <w:trPr>
          <w:trHeight w:val="20"/>
        </w:trPr>
        <w:tc>
          <w:tcPr>
            <w:tcW w:w="840" w:type="dxa"/>
            <w:shd w:val="clear" w:color="auto" w:fill="auto"/>
            <w:vAlign w:val="center"/>
            <w:hideMark/>
          </w:tcPr>
          <w:p w14:paraId="0C65ABED"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9.2 (d)</w:t>
            </w:r>
          </w:p>
        </w:tc>
        <w:tc>
          <w:tcPr>
            <w:tcW w:w="1854" w:type="dxa"/>
            <w:vMerge/>
            <w:vAlign w:val="center"/>
            <w:hideMark/>
          </w:tcPr>
          <w:p w14:paraId="33814FAE"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02DAA2FA"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para cada auditoría, definir los criterios y el alcance de ésta</w:t>
            </w:r>
          </w:p>
        </w:tc>
        <w:tc>
          <w:tcPr>
            <w:tcW w:w="1368" w:type="dxa"/>
            <w:shd w:val="clear" w:color="000000" w:fill="C00000"/>
            <w:vAlign w:val="center"/>
            <w:hideMark/>
          </w:tcPr>
          <w:p w14:paraId="18AAFF5A"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7312F1D1"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No se han llevado a cabo auditorías al sistema de gestión de la seguridad de la información</w:t>
            </w:r>
          </w:p>
        </w:tc>
        <w:tc>
          <w:tcPr>
            <w:tcW w:w="1038" w:type="dxa"/>
            <w:shd w:val="clear" w:color="000000" w:fill="FF0000"/>
            <w:noWrap/>
            <w:vAlign w:val="center"/>
            <w:hideMark/>
          </w:tcPr>
          <w:p w14:paraId="38D3D2C4"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31497C26"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6B2C9A90"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organización debe definir los criterios y el alcance de cada auditoría</w:t>
            </w:r>
          </w:p>
        </w:tc>
        <w:tc>
          <w:tcPr>
            <w:tcW w:w="1763" w:type="dxa"/>
          </w:tcPr>
          <w:p w14:paraId="29328192"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2C475F7F" w14:textId="77777777" w:rsidTr="007F5968">
        <w:trPr>
          <w:trHeight w:val="20"/>
        </w:trPr>
        <w:tc>
          <w:tcPr>
            <w:tcW w:w="840" w:type="dxa"/>
            <w:shd w:val="clear" w:color="auto" w:fill="auto"/>
            <w:vAlign w:val="center"/>
            <w:hideMark/>
          </w:tcPr>
          <w:p w14:paraId="7E273199"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9.2 (e)</w:t>
            </w:r>
          </w:p>
        </w:tc>
        <w:tc>
          <w:tcPr>
            <w:tcW w:w="1854" w:type="dxa"/>
            <w:vMerge/>
            <w:vAlign w:val="center"/>
            <w:hideMark/>
          </w:tcPr>
          <w:p w14:paraId="40A6B8B0"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57080663"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seleccionar los auditores y llevar a cabo auditorías para asegurarse de la objetividad y la imparcialidad del proceso de auditoría</w:t>
            </w:r>
          </w:p>
        </w:tc>
        <w:tc>
          <w:tcPr>
            <w:tcW w:w="1368" w:type="dxa"/>
            <w:shd w:val="clear" w:color="000000" w:fill="C00000"/>
            <w:vAlign w:val="center"/>
            <w:hideMark/>
          </w:tcPr>
          <w:p w14:paraId="69E9E49F"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4CF48DBD"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No se han llevado a cabo auditorías al sistema de gestión de la seguridad de la información</w:t>
            </w:r>
          </w:p>
        </w:tc>
        <w:tc>
          <w:tcPr>
            <w:tcW w:w="1038" w:type="dxa"/>
            <w:shd w:val="clear" w:color="000000" w:fill="FF0000"/>
            <w:noWrap/>
            <w:vAlign w:val="center"/>
            <w:hideMark/>
          </w:tcPr>
          <w:p w14:paraId="5CEE6DAA"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41F20313"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7C6CD474"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organización debe asegurarse de la objetividad e imparcialidad del proceso de auditoría</w:t>
            </w:r>
          </w:p>
        </w:tc>
        <w:tc>
          <w:tcPr>
            <w:tcW w:w="1763" w:type="dxa"/>
          </w:tcPr>
          <w:p w14:paraId="761F5D33"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07399357" w14:textId="77777777" w:rsidTr="007F5968">
        <w:trPr>
          <w:trHeight w:val="20"/>
        </w:trPr>
        <w:tc>
          <w:tcPr>
            <w:tcW w:w="840" w:type="dxa"/>
            <w:shd w:val="clear" w:color="auto" w:fill="auto"/>
            <w:vAlign w:val="center"/>
            <w:hideMark/>
          </w:tcPr>
          <w:p w14:paraId="49274941"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9.2 (f)</w:t>
            </w:r>
          </w:p>
        </w:tc>
        <w:tc>
          <w:tcPr>
            <w:tcW w:w="1854" w:type="dxa"/>
            <w:vMerge/>
            <w:vAlign w:val="center"/>
            <w:hideMark/>
          </w:tcPr>
          <w:p w14:paraId="03320C59"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32105B9E"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asegurarse de que los resultados </w:t>
            </w:r>
            <w:r w:rsidRPr="00E305B4">
              <w:rPr>
                <w:rFonts w:asciiTheme="majorHAnsi" w:eastAsia="Times New Roman" w:hAnsiTheme="majorHAnsi" w:cstheme="majorHAnsi"/>
                <w:color w:val="000000"/>
                <w:sz w:val="16"/>
                <w:szCs w:val="16"/>
                <w:lang w:val="es-CO" w:eastAsia="es-CO"/>
              </w:rPr>
              <w:lastRenderedPageBreak/>
              <w:t>de las auditorías se informan a la dirección pertinente; y</w:t>
            </w:r>
          </w:p>
        </w:tc>
        <w:tc>
          <w:tcPr>
            <w:tcW w:w="1368" w:type="dxa"/>
            <w:shd w:val="clear" w:color="000000" w:fill="C00000"/>
            <w:vAlign w:val="center"/>
            <w:hideMark/>
          </w:tcPr>
          <w:p w14:paraId="38979976"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lastRenderedPageBreak/>
              <w:t>NO</w:t>
            </w:r>
          </w:p>
        </w:tc>
        <w:tc>
          <w:tcPr>
            <w:tcW w:w="3246" w:type="dxa"/>
            <w:shd w:val="clear" w:color="auto" w:fill="auto"/>
            <w:vAlign w:val="center"/>
            <w:hideMark/>
          </w:tcPr>
          <w:p w14:paraId="2AE72547"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No se han llevado a cabo auditorías al </w:t>
            </w:r>
            <w:r w:rsidRPr="00E305B4">
              <w:rPr>
                <w:rFonts w:asciiTheme="majorHAnsi" w:eastAsia="Times New Roman" w:hAnsiTheme="majorHAnsi" w:cstheme="majorHAnsi"/>
                <w:color w:val="000000"/>
                <w:sz w:val="16"/>
                <w:szCs w:val="16"/>
                <w:lang w:val="es-CO" w:eastAsia="es-CO"/>
              </w:rPr>
              <w:lastRenderedPageBreak/>
              <w:t>sistema de gestión de la seguridad de la información</w:t>
            </w:r>
          </w:p>
        </w:tc>
        <w:tc>
          <w:tcPr>
            <w:tcW w:w="1038" w:type="dxa"/>
            <w:shd w:val="clear" w:color="000000" w:fill="FF0000"/>
            <w:noWrap/>
            <w:vAlign w:val="center"/>
            <w:hideMark/>
          </w:tcPr>
          <w:p w14:paraId="008DCD5E"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lastRenderedPageBreak/>
              <w:t>Inexistente</w:t>
            </w:r>
          </w:p>
        </w:tc>
        <w:tc>
          <w:tcPr>
            <w:tcW w:w="850" w:type="dxa"/>
            <w:shd w:val="clear" w:color="auto" w:fill="auto"/>
            <w:noWrap/>
            <w:vAlign w:val="center"/>
            <w:hideMark/>
          </w:tcPr>
          <w:p w14:paraId="5B0C47F1"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0130DC9F"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La organización debe asegurar que los resultados de </w:t>
            </w:r>
            <w:r w:rsidRPr="00E305B4">
              <w:rPr>
                <w:rFonts w:asciiTheme="majorHAnsi" w:eastAsia="Times New Roman" w:hAnsiTheme="majorHAnsi" w:cstheme="majorHAnsi"/>
                <w:color w:val="000000"/>
                <w:sz w:val="16"/>
                <w:szCs w:val="16"/>
                <w:lang w:val="es-CO" w:eastAsia="es-CO"/>
              </w:rPr>
              <w:lastRenderedPageBreak/>
              <w:t>las auditorías se informan a la alta dirección cuando sea pertinente</w:t>
            </w:r>
          </w:p>
        </w:tc>
        <w:tc>
          <w:tcPr>
            <w:tcW w:w="1763" w:type="dxa"/>
          </w:tcPr>
          <w:p w14:paraId="4A8C6633"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05DC75A3" w14:textId="77777777" w:rsidTr="007F5968">
        <w:trPr>
          <w:trHeight w:val="20"/>
        </w:trPr>
        <w:tc>
          <w:tcPr>
            <w:tcW w:w="840" w:type="dxa"/>
            <w:shd w:val="clear" w:color="auto" w:fill="auto"/>
            <w:vAlign w:val="center"/>
            <w:hideMark/>
          </w:tcPr>
          <w:p w14:paraId="46D62342"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9.2 (g)</w:t>
            </w:r>
          </w:p>
        </w:tc>
        <w:tc>
          <w:tcPr>
            <w:tcW w:w="1854" w:type="dxa"/>
            <w:vMerge/>
            <w:vAlign w:val="center"/>
            <w:hideMark/>
          </w:tcPr>
          <w:p w14:paraId="20136CBA"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243ED591"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conservar información documentada como evidencia de la implementación del programa de auditoría y de los resultados de ésta.</w:t>
            </w:r>
          </w:p>
        </w:tc>
        <w:tc>
          <w:tcPr>
            <w:tcW w:w="1368" w:type="dxa"/>
            <w:shd w:val="clear" w:color="000000" w:fill="C00000"/>
            <w:vAlign w:val="center"/>
            <w:hideMark/>
          </w:tcPr>
          <w:p w14:paraId="1993E5C8"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59E2F5C8"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No se han llevado a cabo auditorías al sistema de gestión de la seguridad de la información</w:t>
            </w:r>
          </w:p>
        </w:tc>
        <w:tc>
          <w:tcPr>
            <w:tcW w:w="1038" w:type="dxa"/>
            <w:shd w:val="clear" w:color="000000" w:fill="FF0000"/>
            <w:noWrap/>
            <w:vAlign w:val="center"/>
            <w:hideMark/>
          </w:tcPr>
          <w:p w14:paraId="72FBE879"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45125C99"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6C77301F"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organización debe asegurar la conservación de la información documentada como evidencia de la implementación del programa de auditoría y de los resultados de ésta.</w:t>
            </w:r>
          </w:p>
        </w:tc>
        <w:tc>
          <w:tcPr>
            <w:tcW w:w="1763" w:type="dxa"/>
          </w:tcPr>
          <w:p w14:paraId="337E0D99"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BC0293" w:rsidRPr="00E305B4" w14:paraId="766F8CC0" w14:textId="77777777" w:rsidTr="007F5968">
        <w:trPr>
          <w:trHeight w:val="20"/>
        </w:trPr>
        <w:tc>
          <w:tcPr>
            <w:tcW w:w="840" w:type="dxa"/>
            <w:shd w:val="clear" w:color="000000" w:fill="538DD5"/>
            <w:noWrap/>
            <w:vAlign w:val="center"/>
            <w:hideMark/>
          </w:tcPr>
          <w:p w14:paraId="75999387"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9.3</w:t>
            </w:r>
          </w:p>
        </w:tc>
        <w:tc>
          <w:tcPr>
            <w:tcW w:w="10057" w:type="dxa"/>
            <w:gridSpan w:val="5"/>
            <w:shd w:val="clear" w:color="000000" w:fill="538DD5"/>
            <w:noWrap/>
            <w:vAlign w:val="center"/>
            <w:hideMark/>
          </w:tcPr>
          <w:p w14:paraId="1FBD8D6B"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Revisión por la dirección</w:t>
            </w:r>
          </w:p>
        </w:tc>
        <w:tc>
          <w:tcPr>
            <w:tcW w:w="850" w:type="dxa"/>
            <w:shd w:val="clear" w:color="000000" w:fill="538DD5"/>
            <w:noWrap/>
            <w:vAlign w:val="center"/>
            <w:hideMark/>
          </w:tcPr>
          <w:p w14:paraId="45E70096"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0%</w:t>
            </w:r>
          </w:p>
        </w:tc>
        <w:tc>
          <w:tcPr>
            <w:tcW w:w="3782" w:type="dxa"/>
            <w:shd w:val="clear" w:color="000000" w:fill="538DD5"/>
            <w:noWrap/>
            <w:vAlign w:val="center"/>
            <w:hideMark/>
          </w:tcPr>
          <w:p w14:paraId="4A0E559B"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22F6F05B"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16461C61" w14:textId="77777777" w:rsidTr="007F5968">
        <w:trPr>
          <w:trHeight w:val="20"/>
        </w:trPr>
        <w:tc>
          <w:tcPr>
            <w:tcW w:w="840" w:type="dxa"/>
            <w:shd w:val="clear" w:color="auto" w:fill="auto"/>
            <w:vAlign w:val="center"/>
            <w:hideMark/>
          </w:tcPr>
          <w:p w14:paraId="30779CB5"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9.3 (a)</w:t>
            </w:r>
          </w:p>
        </w:tc>
        <w:tc>
          <w:tcPr>
            <w:tcW w:w="1854" w:type="dxa"/>
            <w:vMerge w:val="restart"/>
            <w:shd w:val="clear" w:color="auto" w:fill="auto"/>
            <w:vAlign w:val="center"/>
            <w:hideMark/>
          </w:tcPr>
          <w:p w14:paraId="77C3A870"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alta dirección debe revisar el sistema de gestión de la seguridad de la información de la organización a intervalos planificados, para asegurarse de su conveniencia, adecuación y eficacia continuas.</w:t>
            </w:r>
            <w:r w:rsidRPr="00E305B4">
              <w:rPr>
                <w:rFonts w:asciiTheme="majorHAnsi" w:eastAsia="Times New Roman" w:hAnsiTheme="majorHAnsi" w:cstheme="majorHAnsi"/>
                <w:color w:val="000000"/>
                <w:sz w:val="16"/>
                <w:szCs w:val="16"/>
                <w:lang w:val="es-CO" w:eastAsia="es-CO"/>
              </w:rPr>
              <w:br/>
              <w:t xml:space="preserve">La revisión por la dirección debe incluir consideraciones sobre:                                                                                                                                                                                                                                                                                                                                                                                                                                                                                                                                                                                                                                                                                                                                                                                                                                                                                                                                                                                                                                                                                                                                                                                                                                                                                                                                                                                                                                                                                                                                                                                                                                                                                                                                                                                                                                                                                                                                                                                                                                                                                                                                                                                                                                                       </w:t>
            </w:r>
          </w:p>
        </w:tc>
        <w:tc>
          <w:tcPr>
            <w:tcW w:w="2551" w:type="dxa"/>
            <w:shd w:val="clear" w:color="auto" w:fill="auto"/>
            <w:vAlign w:val="center"/>
            <w:hideMark/>
          </w:tcPr>
          <w:p w14:paraId="2821C4FA"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el estado de las acciones desde anteriores revisiones por la dirección</w:t>
            </w:r>
          </w:p>
        </w:tc>
        <w:tc>
          <w:tcPr>
            <w:tcW w:w="1368" w:type="dxa"/>
            <w:shd w:val="clear" w:color="000000" w:fill="C00000"/>
            <w:vAlign w:val="center"/>
            <w:hideMark/>
          </w:tcPr>
          <w:p w14:paraId="328E8110"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1FFA1F47" w14:textId="77777777" w:rsidR="001E6000" w:rsidRDefault="001E6000"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Con la consultoría se entregó el informe de Seguridad de la Información</w:t>
            </w:r>
          </w:p>
          <w:p w14:paraId="598E9FD0" w14:textId="77777777" w:rsidR="001E6000" w:rsidRDefault="001E6000" w:rsidP="000F099B">
            <w:pPr>
              <w:rPr>
                <w:rFonts w:asciiTheme="majorHAnsi" w:eastAsia="Times New Roman" w:hAnsiTheme="majorHAnsi" w:cstheme="majorHAnsi"/>
                <w:color w:val="000000"/>
                <w:sz w:val="16"/>
                <w:szCs w:val="16"/>
                <w:lang w:val="es-CO" w:eastAsia="es-CO"/>
              </w:rPr>
            </w:pPr>
          </w:p>
          <w:p w14:paraId="4F95D12B"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ha informado a la alta dirección sobre temas referentes a la seguridad de la información mediante el Comité de Gestión y Desempeño cuando ha sido necesario.</w:t>
            </w:r>
          </w:p>
        </w:tc>
        <w:tc>
          <w:tcPr>
            <w:tcW w:w="1038" w:type="dxa"/>
            <w:shd w:val="clear" w:color="000000" w:fill="FF0000"/>
            <w:noWrap/>
            <w:vAlign w:val="center"/>
            <w:hideMark/>
          </w:tcPr>
          <w:p w14:paraId="418639F5"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556A55F4" w14:textId="77777777" w:rsidR="007F5968" w:rsidRPr="00E305B4" w:rsidRDefault="001E6000"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40</w:t>
            </w:r>
            <w:r w:rsidR="007F5968"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6B704555"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alta dirección debe revisar, el estado de las acciones desde anteriores revisiones por la dirección</w:t>
            </w:r>
          </w:p>
        </w:tc>
        <w:tc>
          <w:tcPr>
            <w:tcW w:w="1763" w:type="dxa"/>
          </w:tcPr>
          <w:p w14:paraId="4D20C9F6" w14:textId="77777777" w:rsidR="001E6000" w:rsidRDefault="001E6000" w:rsidP="001E6000">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Con la consultoría se entregó el informe de Seguridad de la Información</w:t>
            </w:r>
          </w:p>
          <w:p w14:paraId="7DF0B469"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12682790" w14:textId="77777777" w:rsidTr="007F5968">
        <w:trPr>
          <w:trHeight w:val="20"/>
        </w:trPr>
        <w:tc>
          <w:tcPr>
            <w:tcW w:w="840" w:type="dxa"/>
            <w:shd w:val="clear" w:color="auto" w:fill="auto"/>
            <w:vAlign w:val="center"/>
            <w:hideMark/>
          </w:tcPr>
          <w:p w14:paraId="1ABB6F03"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9.3 (b)</w:t>
            </w:r>
          </w:p>
        </w:tc>
        <w:tc>
          <w:tcPr>
            <w:tcW w:w="1854" w:type="dxa"/>
            <w:vMerge/>
            <w:vAlign w:val="center"/>
            <w:hideMark/>
          </w:tcPr>
          <w:p w14:paraId="239E7B4A"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11EC9E60"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los cambios en las cuestiones externas e internas que sean pertinentes al sistema de gestión de la seguridad de la información</w:t>
            </w:r>
          </w:p>
        </w:tc>
        <w:tc>
          <w:tcPr>
            <w:tcW w:w="1368" w:type="dxa"/>
            <w:shd w:val="clear" w:color="000000" w:fill="C00000"/>
            <w:vAlign w:val="center"/>
            <w:hideMark/>
          </w:tcPr>
          <w:p w14:paraId="3D849035"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219D1819" w14:textId="77777777" w:rsidR="007F5968" w:rsidRPr="00E305B4" w:rsidRDefault="001E6000" w:rsidP="001E6000">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Con la consultoría se entregó el informe de Seguridad de la Información </w:t>
            </w:r>
            <w:r w:rsidR="007F5968" w:rsidRPr="00E305B4">
              <w:rPr>
                <w:rFonts w:asciiTheme="majorHAnsi" w:eastAsia="Times New Roman" w:hAnsiTheme="majorHAnsi" w:cstheme="majorHAnsi"/>
                <w:color w:val="000000"/>
                <w:sz w:val="16"/>
                <w:szCs w:val="16"/>
                <w:lang w:val="es-CO" w:eastAsia="es-CO"/>
              </w:rPr>
              <w:t>para asegurarse de su conveniencia, adecuación y eficacia</w:t>
            </w:r>
          </w:p>
        </w:tc>
        <w:tc>
          <w:tcPr>
            <w:tcW w:w="1038" w:type="dxa"/>
            <w:shd w:val="clear" w:color="000000" w:fill="FF0000"/>
            <w:noWrap/>
            <w:vAlign w:val="center"/>
            <w:hideMark/>
          </w:tcPr>
          <w:p w14:paraId="22B23E91"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2B16FF18" w14:textId="77777777" w:rsidR="007F5968" w:rsidRPr="00E305B4" w:rsidRDefault="001E6000"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40</w:t>
            </w:r>
            <w:r w:rsidR="007F5968" w:rsidRPr="00E305B4">
              <w:rPr>
                <w:rFonts w:asciiTheme="majorHAnsi" w:eastAsia="Times New Roman" w:hAnsiTheme="majorHAnsi" w:cstheme="majorHAnsi"/>
                <w:color w:val="000000"/>
                <w:sz w:val="16"/>
                <w:szCs w:val="16"/>
                <w:lang w:val="es-CO" w:eastAsia="es-CO"/>
              </w:rPr>
              <w:t>%</w:t>
            </w:r>
          </w:p>
        </w:tc>
        <w:tc>
          <w:tcPr>
            <w:tcW w:w="3782" w:type="dxa"/>
            <w:shd w:val="clear" w:color="auto" w:fill="auto"/>
            <w:vAlign w:val="center"/>
            <w:hideMark/>
          </w:tcPr>
          <w:p w14:paraId="2C44FAF6"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alta dirección debe revisar los cambios en las cuestiones externas e internas que sean pertinentes al sistema de gestión de la seguridad de la información</w:t>
            </w:r>
          </w:p>
        </w:tc>
        <w:tc>
          <w:tcPr>
            <w:tcW w:w="1763" w:type="dxa"/>
          </w:tcPr>
          <w:p w14:paraId="6D5C6E88" w14:textId="77777777" w:rsidR="001E6000" w:rsidRDefault="001E6000" w:rsidP="001E6000">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Con la consultoría se entregó el informe de Seguridad de la Información</w:t>
            </w:r>
          </w:p>
          <w:p w14:paraId="0E0935F8"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7C613740" w14:textId="77777777" w:rsidTr="007F5968">
        <w:trPr>
          <w:trHeight w:val="20"/>
        </w:trPr>
        <w:tc>
          <w:tcPr>
            <w:tcW w:w="840" w:type="dxa"/>
            <w:shd w:val="clear" w:color="auto" w:fill="auto"/>
            <w:vAlign w:val="center"/>
            <w:hideMark/>
          </w:tcPr>
          <w:p w14:paraId="40C28931"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9.3 (c)</w:t>
            </w:r>
          </w:p>
        </w:tc>
        <w:tc>
          <w:tcPr>
            <w:tcW w:w="1854" w:type="dxa"/>
            <w:vMerge/>
            <w:vAlign w:val="center"/>
            <w:hideMark/>
          </w:tcPr>
          <w:p w14:paraId="0215FA64"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20337CC9"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retroalimentación* sobre el desempeño de la seguridad de la información, incluidas las tendencias relativas a:</w:t>
            </w:r>
            <w:r w:rsidRPr="00E305B4">
              <w:rPr>
                <w:rFonts w:asciiTheme="majorHAnsi" w:eastAsia="Times New Roman" w:hAnsiTheme="majorHAnsi" w:cstheme="majorHAnsi"/>
                <w:color w:val="000000"/>
                <w:sz w:val="16"/>
                <w:szCs w:val="16"/>
                <w:lang w:val="es-CO" w:eastAsia="es-CO"/>
              </w:rPr>
              <w:br/>
              <w:t>1) no conformidades y acciones correctivas;</w:t>
            </w:r>
            <w:r w:rsidRPr="00E305B4">
              <w:rPr>
                <w:rFonts w:asciiTheme="majorHAnsi" w:eastAsia="Times New Roman" w:hAnsiTheme="majorHAnsi" w:cstheme="majorHAnsi"/>
                <w:color w:val="000000"/>
                <w:sz w:val="16"/>
                <w:szCs w:val="16"/>
                <w:lang w:val="es-CO" w:eastAsia="es-CO"/>
              </w:rPr>
              <w:br/>
              <w:t>2) seguimiento y resultados de las mediciones;</w:t>
            </w:r>
            <w:r w:rsidRPr="00E305B4">
              <w:rPr>
                <w:rFonts w:asciiTheme="majorHAnsi" w:eastAsia="Times New Roman" w:hAnsiTheme="majorHAnsi" w:cstheme="majorHAnsi"/>
                <w:color w:val="000000"/>
                <w:sz w:val="16"/>
                <w:szCs w:val="16"/>
                <w:lang w:val="es-CO" w:eastAsia="es-CO"/>
              </w:rPr>
              <w:br/>
              <w:t>3) resultados de la auditoría; y</w:t>
            </w:r>
            <w:r w:rsidRPr="00E305B4">
              <w:rPr>
                <w:rFonts w:asciiTheme="majorHAnsi" w:eastAsia="Times New Roman" w:hAnsiTheme="majorHAnsi" w:cstheme="majorHAnsi"/>
                <w:color w:val="000000"/>
                <w:sz w:val="16"/>
                <w:szCs w:val="16"/>
                <w:lang w:val="es-CO" w:eastAsia="es-CO"/>
              </w:rPr>
              <w:br/>
              <w:t>4) cumplimiento de los objetivos de la seguridad de la información</w:t>
            </w:r>
          </w:p>
        </w:tc>
        <w:tc>
          <w:tcPr>
            <w:tcW w:w="1368" w:type="dxa"/>
            <w:shd w:val="clear" w:color="000000" w:fill="C00000"/>
            <w:vAlign w:val="center"/>
            <w:hideMark/>
          </w:tcPr>
          <w:p w14:paraId="7246F62C"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275EEDF2"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1E6000">
              <w:rPr>
                <w:rFonts w:asciiTheme="majorHAnsi" w:eastAsia="Times New Roman" w:hAnsiTheme="majorHAnsi" w:cstheme="majorHAnsi"/>
                <w:color w:val="000000"/>
                <w:sz w:val="16"/>
                <w:szCs w:val="16"/>
                <w:highlight w:val="red"/>
                <w:lang w:val="es-CO" w:eastAsia="es-CO"/>
              </w:rPr>
              <w:t>La alta dirección no ha revisado el sistema de gestión de la seguridad de la información periódicamente para asegurarse de su conveniencia, adecuación y eficacia</w:t>
            </w:r>
          </w:p>
        </w:tc>
        <w:tc>
          <w:tcPr>
            <w:tcW w:w="1038" w:type="dxa"/>
            <w:shd w:val="clear" w:color="000000" w:fill="FF0000"/>
            <w:noWrap/>
            <w:vAlign w:val="center"/>
            <w:hideMark/>
          </w:tcPr>
          <w:p w14:paraId="7FDB2F68"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16B6A876"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78697E1F"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alta dirección debe revisar retroalimentación sobre el desempeño de la seguridad de la información, como:</w:t>
            </w:r>
            <w:r w:rsidRPr="00E305B4">
              <w:rPr>
                <w:rFonts w:asciiTheme="majorHAnsi" w:eastAsia="Times New Roman" w:hAnsiTheme="majorHAnsi" w:cstheme="majorHAnsi"/>
                <w:color w:val="000000"/>
                <w:sz w:val="16"/>
                <w:szCs w:val="16"/>
                <w:lang w:val="es-CO" w:eastAsia="es-CO"/>
              </w:rPr>
              <w:br/>
              <w:t>1) no conformidades y acciones correctivas;</w:t>
            </w:r>
            <w:r w:rsidRPr="00E305B4">
              <w:rPr>
                <w:rFonts w:asciiTheme="majorHAnsi" w:eastAsia="Times New Roman" w:hAnsiTheme="majorHAnsi" w:cstheme="majorHAnsi"/>
                <w:color w:val="000000"/>
                <w:sz w:val="16"/>
                <w:szCs w:val="16"/>
                <w:lang w:val="es-CO" w:eastAsia="es-CO"/>
              </w:rPr>
              <w:br/>
              <w:t>2) seguimiento y resultados de las mediciones;</w:t>
            </w:r>
            <w:r w:rsidRPr="00E305B4">
              <w:rPr>
                <w:rFonts w:asciiTheme="majorHAnsi" w:eastAsia="Times New Roman" w:hAnsiTheme="majorHAnsi" w:cstheme="majorHAnsi"/>
                <w:color w:val="000000"/>
                <w:sz w:val="16"/>
                <w:szCs w:val="16"/>
                <w:lang w:val="es-CO" w:eastAsia="es-CO"/>
              </w:rPr>
              <w:br/>
              <w:t>3) resultados de la auditoría; y</w:t>
            </w:r>
            <w:r w:rsidRPr="00E305B4">
              <w:rPr>
                <w:rFonts w:asciiTheme="majorHAnsi" w:eastAsia="Times New Roman" w:hAnsiTheme="majorHAnsi" w:cstheme="majorHAnsi"/>
                <w:color w:val="000000"/>
                <w:sz w:val="16"/>
                <w:szCs w:val="16"/>
                <w:lang w:val="es-CO" w:eastAsia="es-CO"/>
              </w:rPr>
              <w:br/>
              <w:t>4) cumplimiento de los objetivos de la seguridad de la información</w:t>
            </w:r>
          </w:p>
        </w:tc>
        <w:tc>
          <w:tcPr>
            <w:tcW w:w="1763" w:type="dxa"/>
          </w:tcPr>
          <w:p w14:paraId="02186181"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1B5DBD4D" w14:textId="77777777" w:rsidTr="007F5968">
        <w:trPr>
          <w:trHeight w:val="20"/>
        </w:trPr>
        <w:tc>
          <w:tcPr>
            <w:tcW w:w="840" w:type="dxa"/>
            <w:shd w:val="clear" w:color="auto" w:fill="auto"/>
            <w:vAlign w:val="center"/>
            <w:hideMark/>
          </w:tcPr>
          <w:p w14:paraId="38918498"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9.3 (d)</w:t>
            </w:r>
          </w:p>
        </w:tc>
        <w:tc>
          <w:tcPr>
            <w:tcW w:w="1854" w:type="dxa"/>
            <w:vMerge/>
            <w:vAlign w:val="center"/>
            <w:hideMark/>
          </w:tcPr>
          <w:p w14:paraId="41988CD1"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145F005A"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retroalimentación de las partes interesadas;</w:t>
            </w:r>
          </w:p>
        </w:tc>
        <w:tc>
          <w:tcPr>
            <w:tcW w:w="1368" w:type="dxa"/>
            <w:shd w:val="clear" w:color="000000" w:fill="C00000"/>
            <w:vAlign w:val="center"/>
            <w:hideMark/>
          </w:tcPr>
          <w:p w14:paraId="1B9D28AE"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772E6696"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alta dirección no ha revisado el sistema de gestión de la seguridad de la información periódicamente para asegurarse de su conveniencia, adecuación y eficacia</w:t>
            </w:r>
          </w:p>
        </w:tc>
        <w:tc>
          <w:tcPr>
            <w:tcW w:w="1038" w:type="dxa"/>
            <w:shd w:val="clear" w:color="000000" w:fill="FF0000"/>
            <w:noWrap/>
            <w:vAlign w:val="center"/>
            <w:hideMark/>
          </w:tcPr>
          <w:p w14:paraId="4A227E5B"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28563842"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0EB91598"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1E6000">
              <w:rPr>
                <w:rFonts w:asciiTheme="majorHAnsi" w:eastAsia="Times New Roman" w:hAnsiTheme="majorHAnsi" w:cstheme="majorHAnsi"/>
                <w:color w:val="000000"/>
                <w:sz w:val="16"/>
                <w:szCs w:val="16"/>
                <w:highlight w:val="red"/>
                <w:lang w:val="es-CO" w:eastAsia="es-CO"/>
              </w:rPr>
              <w:t>La alta dirección debe revisar la retroalimentación de las partes interesadas</w:t>
            </w:r>
          </w:p>
        </w:tc>
        <w:tc>
          <w:tcPr>
            <w:tcW w:w="1763" w:type="dxa"/>
          </w:tcPr>
          <w:p w14:paraId="6D7E24FC"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5A961795" w14:textId="77777777" w:rsidTr="007F5968">
        <w:trPr>
          <w:trHeight w:val="20"/>
        </w:trPr>
        <w:tc>
          <w:tcPr>
            <w:tcW w:w="840" w:type="dxa"/>
            <w:shd w:val="clear" w:color="auto" w:fill="auto"/>
            <w:vAlign w:val="center"/>
            <w:hideMark/>
          </w:tcPr>
          <w:p w14:paraId="76340039"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9.3 (e)</w:t>
            </w:r>
          </w:p>
        </w:tc>
        <w:tc>
          <w:tcPr>
            <w:tcW w:w="1854" w:type="dxa"/>
            <w:vMerge/>
            <w:vAlign w:val="center"/>
            <w:hideMark/>
          </w:tcPr>
          <w:p w14:paraId="43F96EF6"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5322AEB4"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resultados de la evaluación de riesgos y estado del plan de tratamiento de riesgos; y</w:t>
            </w:r>
          </w:p>
        </w:tc>
        <w:tc>
          <w:tcPr>
            <w:tcW w:w="1368" w:type="dxa"/>
            <w:shd w:val="clear" w:color="000000" w:fill="C00000"/>
            <w:vAlign w:val="center"/>
            <w:hideMark/>
          </w:tcPr>
          <w:p w14:paraId="74951956"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16F9F24E"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alta dirección no ha revisado el sistema de gestión de la seguridad de la información periódicamente para asegurarse de su conveniencia, adecuación y eficacia</w:t>
            </w:r>
          </w:p>
        </w:tc>
        <w:tc>
          <w:tcPr>
            <w:tcW w:w="1038" w:type="dxa"/>
            <w:shd w:val="clear" w:color="000000" w:fill="FF0000"/>
            <w:noWrap/>
            <w:vAlign w:val="center"/>
            <w:hideMark/>
          </w:tcPr>
          <w:p w14:paraId="0DD149C5"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3107BD38"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10F2DF18"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alta dirección debe revisar los resultados de la evaluación de riesgos y estado del plan de tratamiento de riesgos</w:t>
            </w:r>
          </w:p>
        </w:tc>
        <w:tc>
          <w:tcPr>
            <w:tcW w:w="1763" w:type="dxa"/>
          </w:tcPr>
          <w:p w14:paraId="506555B6" w14:textId="77777777" w:rsidR="007F5968" w:rsidRPr="00E305B4" w:rsidRDefault="001E6000" w:rsidP="000F099B">
            <w:pPr>
              <w:rPr>
                <w:rFonts w:asciiTheme="majorHAnsi" w:eastAsia="Times New Roman" w:hAnsiTheme="majorHAnsi" w:cstheme="majorHAnsi"/>
                <w:color w:val="000000"/>
                <w:sz w:val="16"/>
                <w:szCs w:val="16"/>
                <w:lang w:val="es-CO" w:eastAsia="es-CO"/>
              </w:rPr>
            </w:pPr>
            <w:proofErr w:type="spellStart"/>
            <w:r>
              <w:rPr>
                <w:rFonts w:asciiTheme="majorHAnsi" w:eastAsia="Times New Roman" w:hAnsiTheme="majorHAnsi" w:cstheme="majorHAnsi"/>
                <w:color w:val="000000"/>
                <w:sz w:val="16"/>
                <w:szCs w:val="16"/>
                <w:lang w:val="es-CO" w:eastAsia="es-CO"/>
              </w:rPr>
              <w:t>Informarlen</w:t>
            </w:r>
            <w:proofErr w:type="spellEnd"/>
          </w:p>
        </w:tc>
      </w:tr>
      <w:tr w:rsidR="00274728" w:rsidRPr="00E305B4" w14:paraId="22838117" w14:textId="77777777" w:rsidTr="007F5968">
        <w:trPr>
          <w:trHeight w:val="20"/>
        </w:trPr>
        <w:tc>
          <w:tcPr>
            <w:tcW w:w="840" w:type="dxa"/>
            <w:shd w:val="clear" w:color="auto" w:fill="auto"/>
            <w:vAlign w:val="center"/>
            <w:hideMark/>
          </w:tcPr>
          <w:p w14:paraId="4B13A19E"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9.3 (f)</w:t>
            </w:r>
          </w:p>
        </w:tc>
        <w:tc>
          <w:tcPr>
            <w:tcW w:w="1854" w:type="dxa"/>
            <w:vMerge/>
            <w:vAlign w:val="center"/>
            <w:hideMark/>
          </w:tcPr>
          <w:p w14:paraId="4B2C1938"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75D0459E"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las oportunidades de mejora continua.</w:t>
            </w:r>
          </w:p>
        </w:tc>
        <w:tc>
          <w:tcPr>
            <w:tcW w:w="1368" w:type="dxa"/>
            <w:shd w:val="clear" w:color="000000" w:fill="C00000"/>
            <w:vAlign w:val="center"/>
            <w:hideMark/>
          </w:tcPr>
          <w:p w14:paraId="520BBB27"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2717B1A5"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La alta dirección no ha revisado el sistema de gestión de la seguridad de la información periódicamente para asegurarse de su </w:t>
            </w:r>
            <w:r w:rsidRPr="00E305B4">
              <w:rPr>
                <w:rFonts w:asciiTheme="majorHAnsi" w:eastAsia="Times New Roman" w:hAnsiTheme="majorHAnsi" w:cstheme="majorHAnsi"/>
                <w:color w:val="000000"/>
                <w:sz w:val="16"/>
                <w:szCs w:val="16"/>
                <w:lang w:val="es-CO" w:eastAsia="es-CO"/>
              </w:rPr>
              <w:lastRenderedPageBreak/>
              <w:t>conveniencia, adecuación y eficacia</w:t>
            </w:r>
          </w:p>
        </w:tc>
        <w:tc>
          <w:tcPr>
            <w:tcW w:w="1038" w:type="dxa"/>
            <w:shd w:val="clear" w:color="000000" w:fill="FF0000"/>
            <w:noWrap/>
            <w:vAlign w:val="center"/>
            <w:hideMark/>
          </w:tcPr>
          <w:p w14:paraId="5306BEB0"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lastRenderedPageBreak/>
              <w:t>Inexistente</w:t>
            </w:r>
          </w:p>
        </w:tc>
        <w:tc>
          <w:tcPr>
            <w:tcW w:w="850" w:type="dxa"/>
            <w:shd w:val="clear" w:color="auto" w:fill="auto"/>
            <w:noWrap/>
            <w:vAlign w:val="center"/>
            <w:hideMark/>
          </w:tcPr>
          <w:p w14:paraId="44CE452C"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38407DA7"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alta dirección debe revisar las oportunidades de mejora continua</w:t>
            </w:r>
          </w:p>
        </w:tc>
        <w:tc>
          <w:tcPr>
            <w:tcW w:w="1763" w:type="dxa"/>
          </w:tcPr>
          <w:p w14:paraId="1D215340"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BC0293" w:rsidRPr="00E305B4" w14:paraId="34502313" w14:textId="77777777" w:rsidTr="007F5968">
        <w:trPr>
          <w:trHeight w:val="20"/>
        </w:trPr>
        <w:tc>
          <w:tcPr>
            <w:tcW w:w="840" w:type="dxa"/>
            <w:shd w:val="clear" w:color="000000" w:fill="538DD5"/>
            <w:noWrap/>
            <w:vAlign w:val="center"/>
            <w:hideMark/>
          </w:tcPr>
          <w:p w14:paraId="29FC03BB"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10</w:t>
            </w:r>
          </w:p>
        </w:tc>
        <w:tc>
          <w:tcPr>
            <w:tcW w:w="10057" w:type="dxa"/>
            <w:gridSpan w:val="5"/>
            <w:shd w:val="clear" w:color="000000" w:fill="538DD5"/>
            <w:noWrap/>
            <w:vAlign w:val="center"/>
            <w:hideMark/>
          </w:tcPr>
          <w:p w14:paraId="4427F580"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MEJORA</w:t>
            </w:r>
          </w:p>
        </w:tc>
        <w:tc>
          <w:tcPr>
            <w:tcW w:w="850" w:type="dxa"/>
            <w:shd w:val="clear" w:color="000000" w:fill="538DD5"/>
            <w:noWrap/>
            <w:vAlign w:val="center"/>
            <w:hideMark/>
          </w:tcPr>
          <w:p w14:paraId="4C01FDCD"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0%</w:t>
            </w:r>
          </w:p>
        </w:tc>
        <w:tc>
          <w:tcPr>
            <w:tcW w:w="3782" w:type="dxa"/>
            <w:shd w:val="clear" w:color="000000" w:fill="538DD5"/>
            <w:noWrap/>
            <w:vAlign w:val="center"/>
            <w:hideMark/>
          </w:tcPr>
          <w:p w14:paraId="03727433"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58E06A05"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BC0293" w:rsidRPr="00E305B4" w14:paraId="54A39939" w14:textId="77777777" w:rsidTr="007F5968">
        <w:trPr>
          <w:trHeight w:val="20"/>
        </w:trPr>
        <w:tc>
          <w:tcPr>
            <w:tcW w:w="840" w:type="dxa"/>
            <w:shd w:val="clear" w:color="000000" w:fill="538DD5"/>
            <w:noWrap/>
            <w:vAlign w:val="center"/>
            <w:hideMark/>
          </w:tcPr>
          <w:p w14:paraId="015E60E7"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10.1</w:t>
            </w:r>
          </w:p>
        </w:tc>
        <w:tc>
          <w:tcPr>
            <w:tcW w:w="10057" w:type="dxa"/>
            <w:gridSpan w:val="5"/>
            <w:shd w:val="clear" w:color="000000" w:fill="538DD5"/>
            <w:noWrap/>
            <w:vAlign w:val="center"/>
            <w:hideMark/>
          </w:tcPr>
          <w:p w14:paraId="1CB83EF5"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 conformidades y acciones correctivas</w:t>
            </w:r>
          </w:p>
        </w:tc>
        <w:tc>
          <w:tcPr>
            <w:tcW w:w="850" w:type="dxa"/>
            <w:shd w:val="clear" w:color="000000" w:fill="538DD5"/>
            <w:noWrap/>
            <w:vAlign w:val="center"/>
            <w:hideMark/>
          </w:tcPr>
          <w:p w14:paraId="635409F4"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0%</w:t>
            </w:r>
          </w:p>
        </w:tc>
        <w:tc>
          <w:tcPr>
            <w:tcW w:w="3782" w:type="dxa"/>
            <w:shd w:val="clear" w:color="000000" w:fill="538DD5"/>
            <w:noWrap/>
            <w:vAlign w:val="center"/>
            <w:hideMark/>
          </w:tcPr>
          <w:p w14:paraId="2A0ECFE3"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154A0B63"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653F658F" w14:textId="77777777" w:rsidTr="007F5968">
        <w:trPr>
          <w:trHeight w:val="20"/>
        </w:trPr>
        <w:tc>
          <w:tcPr>
            <w:tcW w:w="840" w:type="dxa"/>
            <w:shd w:val="clear" w:color="auto" w:fill="auto"/>
            <w:vAlign w:val="center"/>
            <w:hideMark/>
          </w:tcPr>
          <w:p w14:paraId="233A0BC1"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10.1 (a)</w:t>
            </w:r>
          </w:p>
        </w:tc>
        <w:tc>
          <w:tcPr>
            <w:tcW w:w="1854" w:type="dxa"/>
            <w:vMerge w:val="restart"/>
            <w:shd w:val="clear" w:color="auto" w:fill="auto"/>
            <w:vAlign w:val="center"/>
            <w:hideMark/>
          </w:tcPr>
          <w:p w14:paraId="04E1C21C"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Cuando ocurra </w:t>
            </w:r>
            <w:proofErr w:type="gramStart"/>
            <w:r w:rsidRPr="00E305B4">
              <w:rPr>
                <w:rFonts w:asciiTheme="majorHAnsi" w:eastAsia="Times New Roman" w:hAnsiTheme="majorHAnsi" w:cstheme="majorHAnsi"/>
                <w:color w:val="000000"/>
                <w:sz w:val="16"/>
                <w:szCs w:val="16"/>
                <w:lang w:val="es-CO" w:eastAsia="es-CO"/>
              </w:rPr>
              <w:t>una no</w:t>
            </w:r>
            <w:proofErr w:type="gramEnd"/>
            <w:r w:rsidRPr="00E305B4">
              <w:rPr>
                <w:rFonts w:asciiTheme="majorHAnsi" w:eastAsia="Times New Roman" w:hAnsiTheme="majorHAnsi" w:cstheme="majorHAnsi"/>
                <w:color w:val="000000"/>
                <w:sz w:val="16"/>
                <w:szCs w:val="16"/>
                <w:lang w:val="es-CO" w:eastAsia="es-CO"/>
              </w:rPr>
              <w:t xml:space="preserve"> conformidad, la organización debe:</w:t>
            </w:r>
          </w:p>
        </w:tc>
        <w:tc>
          <w:tcPr>
            <w:tcW w:w="2551" w:type="dxa"/>
            <w:shd w:val="clear" w:color="auto" w:fill="auto"/>
            <w:vAlign w:val="center"/>
            <w:hideMark/>
          </w:tcPr>
          <w:p w14:paraId="63E05B3A"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reaccionar ante la no conformidad, y según sea aplicable</w:t>
            </w:r>
            <w:r w:rsidRPr="00E305B4">
              <w:rPr>
                <w:rFonts w:asciiTheme="majorHAnsi" w:eastAsia="Times New Roman" w:hAnsiTheme="majorHAnsi" w:cstheme="majorHAnsi"/>
                <w:color w:val="000000"/>
                <w:sz w:val="16"/>
                <w:szCs w:val="16"/>
                <w:lang w:val="es-CO" w:eastAsia="es-CO"/>
              </w:rPr>
              <w:br/>
              <w:t>1) tomar acciones para controlarla y corregirla, y</w:t>
            </w:r>
            <w:r w:rsidRPr="00E305B4">
              <w:rPr>
                <w:rFonts w:asciiTheme="majorHAnsi" w:eastAsia="Times New Roman" w:hAnsiTheme="majorHAnsi" w:cstheme="majorHAnsi"/>
                <w:color w:val="000000"/>
                <w:sz w:val="16"/>
                <w:szCs w:val="16"/>
                <w:lang w:val="es-CO" w:eastAsia="es-CO"/>
              </w:rPr>
              <w:br/>
              <w:t>2) hacer frente a las consecuencias;</w:t>
            </w:r>
          </w:p>
        </w:tc>
        <w:tc>
          <w:tcPr>
            <w:tcW w:w="1368" w:type="dxa"/>
            <w:shd w:val="clear" w:color="000000" w:fill="C00000"/>
            <w:vAlign w:val="center"/>
            <w:hideMark/>
          </w:tcPr>
          <w:p w14:paraId="31189C9C"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183CCCAA"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Aun no se realiza el proceso de mejora para el sistema de gestión de seguridad de la información, que incluya la identificación de no conformidades y el planteamiento de acciones correctivas</w:t>
            </w:r>
          </w:p>
        </w:tc>
        <w:tc>
          <w:tcPr>
            <w:tcW w:w="1038" w:type="dxa"/>
            <w:shd w:val="clear" w:color="000000" w:fill="FF0000"/>
            <w:noWrap/>
            <w:vAlign w:val="center"/>
            <w:hideMark/>
          </w:tcPr>
          <w:p w14:paraId="6F844DE0"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41AC8C73"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1394FE35"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debe asegurar que la institución reaccione ante las no conformidades, y tome las acciones necesarias para controlarlas y corregirlas</w:t>
            </w:r>
          </w:p>
        </w:tc>
        <w:tc>
          <w:tcPr>
            <w:tcW w:w="1763" w:type="dxa"/>
          </w:tcPr>
          <w:p w14:paraId="55E8F658"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1714CD6E" w14:textId="77777777" w:rsidTr="007F5968">
        <w:trPr>
          <w:trHeight w:val="20"/>
        </w:trPr>
        <w:tc>
          <w:tcPr>
            <w:tcW w:w="840" w:type="dxa"/>
            <w:shd w:val="clear" w:color="auto" w:fill="auto"/>
            <w:vAlign w:val="center"/>
            <w:hideMark/>
          </w:tcPr>
          <w:p w14:paraId="4C2805C0"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10.1 (b)</w:t>
            </w:r>
          </w:p>
        </w:tc>
        <w:tc>
          <w:tcPr>
            <w:tcW w:w="1854" w:type="dxa"/>
            <w:vMerge/>
            <w:vAlign w:val="center"/>
            <w:hideMark/>
          </w:tcPr>
          <w:p w14:paraId="367178AF"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3A2F9490"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evaluar la necesidad de acciones para eliminar las causas de la no conformidad, con el fin de que no vuelva a ocurrir ni ocurra en otra parte, mediante:</w:t>
            </w:r>
            <w:r w:rsidRPr="00E305B4">
              <w:rPr>
                <w:rFonts w:asciiTheme="majorHAnsi" w:eastAsia="Times New Roman" w:hAnsiTheme="majorHAnsi" w:cstheme="majorHAnsi"/>
                <w:color w:val="000000"/>
                <w:sz w:val="16"/>
                <w:szCs w:val="16"/>
                <w:lang w:val="es-CO" w:eastAsia="es-CO"/>
              </w:rPr>
              <w:br/>
              <w:t>1) la revisión de la no conformidad</w:t>
            </w:r>
            <w:r w:rsidRPr="00E305B4">
              <w:rPr>
                <w:rFonts w:asciiTheme="majorHAnsi" w:eastAsia="Times New Roman" w:hAnsiTheme="majorHAnsi" w:cstheme="majorHAnsi"/>
                <w:color w:val="000000"/>
                <w:sz w:val="16"/>
                <w:szCs w:val="16"/>
                <w:lang w:val="es-CO" w:eastAsia="es-CO"/>
              </w:rPr>
              <w:br/>
              <w:t>2) la determinación de las causas de la conformidad, y</w:t>
            </w:r>
            <w:r w:rsidRPr="00E305B4">
              <w:rPr>
                <w:rFonts w:asciiTheme="majorHAnsi" w:eastAsia="Times New Roman" w:hAnsiTheme="majorHAnsi" w:cstheme="majorHAnsi"/>
                <w:color w:val="000000"/>
                <w:sz w:val="16"/>
                <w:szCs w:val="16"/>
                <w:lang w:val="es-CO" w:eastAsia="es-CO"/>
              </w:rPr>
              <w:br/>
              <w:t>3) la determinación de si existen no conformidades similares, o que potencialmente podrían ocurrir</w:t>
            </w:r>
          </w:p>
        </w:tc>
        <w:tc>
          <w:tcPr>
            <w:tcW w:w="1368" w:type="dxa"/>
            <w:shd w:val="clear" w:color="000000" w:fill="C00000"/>
            <w:vAlign w:val="center"/>
            <w:hideMark/>
          </w:tcPr>
          <w:p w14:paraId="4E631AA0"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4B013C73"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Aun no se realiza el proceso de mejora para el sistema de gestión de seguridad de la información, que incluya la identificación de no conformidades y el planteamiento de acciones correctivas</w:t>
            </w:r>
          </w:p>
        </w:tc>
        <w:tc>
          <w:tcPr>
            <w:tcW w:w="1038" w:type="dxa"/>
            <w:shd w:val="clear" w:color="000000" w:fill="FF0000"/>
            <w:noWrap/>
            <w:vAlign w:val="center"/>
            <w:hideMark/>
          </w:tcPr>
          <w:p w14:paraId="0978D6D5"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7BD64EB1"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6795C7AC"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debe asegurar que la institución evalué la necesidad de acciones para eliminar las causas de la no conformidad, con el fin de que no vuelva a ocurrir ni ocurra en otra parte</w:t>
            </w:r>
          </w:p>
        </w:tc>
        <w:tc>
          <w:tcPr>
            <w:tcW w:w="1763" w:type="dxa"/>
          </w:tcPr>
          <w:p w14:paraId="7819F68F"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4B235515" w14:textId="77777777" w:rsidTr="007F5968">
        <w:trPr>
          <w:trHeight w:val="20"/>
        </w:trPr>
        <w:tc>
          <w:tcPr>
            <w:tcW w:w="840" w:type="dxa"/>
            <w:shd w:val="clear" w:color="auto" w:fill="auto"/>
            <w:vAlign w:val="center"/>
            <w:hideMark/>
          </w:tcPr>
          <w:p w14:paraId="1419A3A5"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10.1 (c)</w:t>
            </w:r>
          </w:p>
        </w:tc>
        <w:tc>
          <w:tcPr>
            <w:tcW w:w="1854" w:type="dxa"/>
            <w:vMerge/>
            <w:vAlign w:val="center"/>
            <w:hideMark/>
          </w:tcPr>
          <w:p w14:paraId="36A7AAA3"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594A03CF"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implementar cualquier acción necesaria;</w:t>
            </w:r>
          </w:p>
        </w:tc>
        <w:tc>
          <w:tcPr>
            <w:tcW w:w="1368" w:type="dxa"/>
            <w:shd w:val="clear" w:color="000000" w:fill="C00000"/>
            <w:vAlign w:val="center"/>
            <w:hideMark/>
          </w:tcPr>
          <w:p w14:paraId="0780F8D0"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79D60A84"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Aun no se realiza el proceso de mejora para el sistema de gestión de seguridad de la información, que incluya la identificación de no conformidades y el planteamiento de acciones correctivas</w:t>
            </w:r>
          </w:p>
        </w:tc>
        <w:tc>
          <w:tcPr>
            <w:tcW w:w="1038" w:type="dxa"/>
            <w:shd w:val="clear" w:color="000000" w:fill="FF0000"/>
            <w:noWrap/>
            <w:vAlign w:val="center"/>
            <w:hideMark/>
          </w:tcPr>
          <w:p w14:paraId="235E6AAF"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782F7172"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4F201341"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debe asegurar que la institución implemente las acciones necesarias</w:t>
            </w:r>
          </w:p>
        </w:tc>
        <w:tc>
          <w:tcPr>
            <w:tcW w:w="1763" w:type="dxa"/>
          </w:tcPr>
          <w:p w14:paraId="1C8F93BC"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09F53209" w14:textId="77777777" w:rsidTr="007F5968">
        <w:trPr>
          <w:trHeight w:val="20"/>
        </w:trPr>
        <w:tc>
          <w:tcPr>
            <w:tcW w:w="840" w:type="dxa"/>
            <w:shd w:val="clear" w:color="auto" w:fill="auto"/>
            <w:vAlign w:val="center"/>
            <w:hideMark/>
          </w:tcPr>
          <w:p w14:paraId="2583F2E7"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10.1 (d)</w:t>
            </w:r>
          </w:p>
        </w:tc>
        <w:tc>
          <w:tcPr>
            <w:tcW w:w="1854" w:type="dxa"/>
            <w:vMerge/>
            <w:vAlign w:val="center"/>
            <w:hideMark/>
          </w:tcPr>
          <w:p w14:paraId="520A4D73"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704A2431"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revisar la eficacia de las acciones correctivas tomadas, y</w:t>
            </w:r>
          </w:p>
        </w:tc>
        <w:tc>
          <w:tcPr>
            <w:tcW w:w="1368" w:type="dxa"/>
            <w:shd w:val="clear" w:color="000000" w:fill="C00000"/>
            <w:vAlign w:val="center"/>
            <w:hideMark/>
          </w:tcPr>
          <w:p w14:paraId="675B6FD3"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39DDCD97"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Aun no se realiza el proceso de mejora para el sistema de gestión de seguridad de la información, que incluya la identificación de no conformidades y el planteamiento de acciones correctivas</w:t>
            </w:r>
          </w:p>
        </w:tc>
        <w:tc>
          <w:tcPr>
            <w:tcW w:w="1038" w:type="dxa"/>
            <w:shd w:val="clear" w:color="000000" w:fill="FF0000"/>
            <w:noWrap/>
            <w:vAlign w:val="center"/>
            <w:hideMark/>
          </w:tcPr>
          <w:p w14:paraId="0D24EED4"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5CEAEDBE"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3BAF6ABD"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debe asegurar que la institución revise la eficacia de las acciones correctivas tomadas</w:t>
            </w:r>
          </w:p>
        </w:tc>
        <w:tc>
          <w:tcPr>
            <w:tcW w:w="1763" w:type="dxa"/>
          </w:tcPr>
          <w:p w14:paraId="539EB0E5"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68C88D5F" w14:textId="77777777" w:rsidTr="007F5968">
        <w:trPr>
          <w:trHeight w:val="20"/>
        </w:trPr>
        <w:tc>
          <w:tcPr>
            <w:tcW w:w="840" w:type="dxa"/>
            <w:shd w:val="clear" w:color="auto" w:fill="auto"/>
            <w:vAlign w:val="center"/>
            <w:hideMark/>
          </w:tcPr>
          <w:p w14:paraId="1E8D4BE1"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10.1 (e)</w:t>
            </w:r>
          </w:p>
        </w:tc>
        <w:tc>
          <w:tcPr>
            <w:tcW w:w="1854" w:type="dxa"/>
            <w:vMerge/>
            <w:vAlign w:val="center"/>
            <w:hideMark/>
          </w:tcPr>
          <w:p w14:paraId="2DA4AA97"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21313102"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hacer cambios al sistema de gestión de la seguridad de la información, si es necesario.</w:t>
            </w:r>
          </w:p>
        </w:tc>
        <w:tc>
          <w:tcPr>
            <w:tcW w:w="1368" w:type="dxa"/>
            <w:shd w:val="clear" w:color="000000" w:fill="C00000"/>
            <w:vAlign w:val="center"/>
            <w:hideMark/>
          </w:tcPr>
          <w:p w14:paraId="7731DE82"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4F3217B0"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Aun no se realiza el proceso de mejora para el sistema de gestión de seguridad de la información, que incluya la identificación de no conformidades y el planteamiento de acciones correctivas</w:t>
            </w:r>
          </w:p>
        </w:tc>
        <w:tc>
          <w:tcPr>
            <w:tcW w:w="1038" w:type="dxa"/>
            <w:shd w:val="clear" w:color="000000" w:fill="FF0000"/>
            <w:noWrap/>
            <w:vAlign w:val="center"/>
            <w:hideMark/>
          </w:tcPr>
          <w:p w14:paraId="4FC39B85"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1E321C54"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03758249"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debe asegurar que la institución realice cambios al sistema de gestión de la seguridad de la información, si es necesario.</w:t>
            </w:r>
          </w:p>
        </w:tc>
        <w:tc>
          <w:tcPr>
            <w:tcW w:w="1763" w:type="dxa"/>
          </w:tcPr>
          <w:p w14:paraId="4E13CDBC"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46C20C79" w14:textId="77777777" w:rsidTr="007F5968">
        <w:trPr>
          <w:trHeight w:val="20"/>
        </w:trPr>
        <w:tc>
          <w:tcPr>
            <w:tcW w:w="840" w:type="dxa"/>
            <w:shd w:val="clear" w:color="auto" w:fill="auto"/>
            <w:vAlign w:val="center"/>
            <w:hideMark/>
          </w:tcPr>
          <w:p w14:paraId="70E45AD0"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10.1 (f)</w:t>
            </w:r>
          </w:p>
        </w:tc>
        <w:tc>
          <w:tcPr>
            <w:tcW w:w="1854" w:type="dxa"/>
            <w:vMerge w:val="restart"/>
            <w:shd w:val="clear" w:color="auto" w:fill="auto"/>
            <w:vAlign w:val="center"/>
            <w:hideMark/>
          </w:tcPr>
          <w:p w14:paraId="037CCD96"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Las acciones correctivas deben ser apropiadas a los efectos de las no conformidades encontradas. La organización debe conservar información </w:t>
            </w:r>
            <w:r w:rsidRPr="00E305B4">
              <w:rPr>
                <w:rFonts w:asciiTheme="majorHAnsi" w:eastAsia="Times New Roman" w:hAnsiTheme="majorHAnsi" w:cstheme="majorHAnsi"/>
                <w:color w:val="000000"/>
                <w:sz w:val="16"/>
                <w:szCs w:val="16"/>
                <w:lang w:val="es-CO" w:eastAsia="es-CO"/>
              </w:rPr>
              <w:lastRenderedPageBreak/>
              <w:t>documentada adecuada, como evidencia de:</w:t>
            </w:r>
          </w:p>
        </w:tc>
        <w:tc>
          <w:tcPr>
            <w:tcW w:w="2551" w:type="dxa"/>
            <w:shd w:val="clear" w:color="auto" w:fill="auto"/>
            <w:vAlign w:val="center"/>
            <w:hideMark/>
          </w:tcPr>
          <w:p w14:paraId="65E795E2"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lastRenderedPageBreak/>
              <w:t>la naturaleza de las no conformidades y cualquier acción posterior tomada; y</w:t>
            </w:r>
          </w:p>
        </w:tc>
        <w:tc>
          <w:tcPr>
            <w:tcW w:w="1368" w:type="dxa"/>
            <w:shd w:val="clear" w:color="000000" w:fill="C00000"/>
            <w:vAlign w:val="center"/>
            <w:hideMark/>
          </w:tcPr>
          <w:p w14:paraId="006DE742"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134D6E86"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Aun no se realiza el proceso de mejora para el sistema de gestión de seguridad de la información, que incluya la identificación de no conformidades y el planteamiento de acciones correctivas</w:t>
            </w:r>
          </w:p>
        </w:tc>
        <w:tc>
          <w:tcPr>
            <w:tcW w:w="1038" w:type="dxa"/>
            <w:shd w:val="clear" w:color="000000" w:fill="FF0000"/>
            <w:noWrap/>
            <w:vAlign w:val="center"/>
            <w:hideMark/>
          </w:tcPr>
          <w:p w14:paraId="1C95D038"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3A61A28A"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4EA54E14"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debe asegurar que la institución conserve la evidencia de la naturaleza de las no conformidades y cualquier acción posterior tomada</w:t>
            </w:r>
          </w:p>
        </w:tc>
        <w:tc>
          <w:tcPr>
            <w:tcW w:w="1763" w:type="dxa"/>
          </w:tcPr>
          <w:p w14:paraId="36B1316E"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274728" w:rsidRPr="00E305B4" w14:paraId="18CE3FBE" w14:textId="77777777" w:rsidTr="007F5968">
        <w:trPr>
          <w:trHeight w:val="20"/>
        </w:trPr>
        <w:tc>
          <w:tcPr>
            <w:tcW w:w="840" w:type="dxa"/>
            <w:shd w:val="clear" w:color="auto" w:fill="auto"/>
            <w:vAlign w:val="center"/>
            <w:hideMark/>
          </w:tcPr>
          <w:p w14:paraId="1D654AB0"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10.1 (g)</w:t>
            </w:r>
          </w:p>
        </w:tc>
        <w:tc>
          <w:tcPr>
            <w:tcW w:w="1854" w:type="dxa"/>
            <w:vMerge/>
            <w:vAlign w:val="center"/>
            <w:hideMark/>
          </w:tcPr>
          <w:p w14:paraId="51EEF56A"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c>
          <w:tcPr>
            <w:tcW w:w="2551" w:type="dxa"/>
            <w:shd w:val="clear" w:color="auto" w:fill="auto"/>
            <w:vAlign w:val="center"/>
            <w:hideMark/>
          </w:tcPr>
          <w:p w14:paraId="5749B52E"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los resultados de cualquier acción correctiva.</w:t>
            </w:r>
          </w:p>
        </w:tc>
        <w:tc>
          <w:tcPr>
            <w:tcW w:w="1368" w:type="dxa"/>
            <w:shd w:val="clear" w:color="000000" w:fill="C00000"/>
            <w:vAlign w:val="center"/>
            <w:hideMark/>
          </w:tcPr>
          <w:p w14:paraId="41B87F1A"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5DF0D6AB"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Aun no se realiza el proceso de mejora para el sistema de gestión de seguridad de la </w:t>
            </w:r>
            <w:r w:rsidRPr="00E305B4">
              <w:rPr>
                <w:rFonts w:asciiTheme="majorHAnsi" w:eastAsia="Times New Roman" w:hAnsiTheme="majorHAnsi" w:cstheme="majorHAnsi"/>
                <w:color w:val="000000"/>
                <w:sz w:val="16"/>
                <w:szCs w:val="16"/>
                <w:lang w:val="es-CO" w:eastAsia="es-CO"/>
              </w:rPr>
              <w:lastRenderedPageBreak/>
              <w:t>información, que incluya la identificación de no conformidades y el planteamiento de acciones correctivas</w:t>
            </w:r>
          </w:p>
        </w:tc>
        <w:tc>
          <w:tcPr>
            <w:tcW w:w="1038" w:type="dxa"/>
            <w:shd w:val="clear" w:color="000000" w:fill="FF0000"/>
            <w:noWrap/>
            <w:vAlign w:val="center"/>
            <w:hideMark/>
          </w:tcPr>
          <w:p w14:paraId="7B68503C"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lastRenderedPageBreak/>
              <w:t>Inexistente</w:t>
            </w:r>
          </w:p>
        </w:tc>
        <w:tc>
          <w:tcPr>
            <w:tcW w:w="850" w:type="dxa"/>
            <w:shd w:val="clear" w:color="auto" w:fill="auto"/>
            <w:noWrap/>
            <w:vAlign w:val="center"/>
            <w:hideMark/>
          </w:tcPr>
          <w:p w14:paraId="6BDB0023"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4BA11FBF"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 xml:space="preserve">Se debe asegurar que la institución conserve la evidencia de los resultados de cualquier acción </w:t>
            </w:r>
            <w:r w:rsidRPr="00E305B4">
              <w:rPr>
                <w:rFonts w:asciiTheme="majorHAnsi" w:eastAsia="Times New Roman" w:hAnsiTheme="majorHAnsi" w:cstheme="majorHAnsi"/>
                <w:color w:val="000000"/>
                <w:sz w:val="16"/>
                <w:szCs w:val="16"/>
                <w:lang w:val="es-CO" w:eastAsia="es-CO"/>
              </w:rPr>
              <w:lastRenderedPageBreak/>
              <w:t>correctiva.</w:t>
            </w:r>
          </w:p>
        </w:tc>
        <w:tc>
          <w:tcPr>
            <w:tcW w:w="1763" w:type="dxa"/>
          </w:tcPr>
          <w:p w14:paraId="7F4BC4EA"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r w:rsidR="00BC0293" w:rsidRPr="00E305B4" w14:paraId="2523650F" w14:textId="77777777" w:rsidTr="007F5968">
        <w:trPr>
          <w:trHeight w:val="20"/>
        </w:trPr>
        <w:tc>
          <w:tcPr>
            <w:tcW w:w="840" w:type="dxa"/>
            <w:shd w:val="clear" w:color="000000" w:fill="538DD5"/>
            <w:noWrap/>
            <w:vAlign w:val="center"/>
            <w:hideMark/>
          </w:tcPr>
          <w:p w14:paraId="3B7023E1"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10.2</w:t>
            </w:r>
          </w:p>
        </w:tc>
        <w:tc>
          <w:tcPr>
            <w:tcW w:w="10057" w:type="dxa"/>
            <w:gridSpan w:val="5"/>
            <w:shd w:val="clear" w:color="000000" w:fill="538DD5"/>
            <w:noWrap/>
            <w:vAlign w:val="center"/>
            <w:hideMark/>
          </w:tcPr>
          <w:p w14:paraId="581D4FFE"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Mejora continua</w:t>
            </w:r>
          </w:p>
        </w:tc>
        <w:tc>
          <w:tcPr>
            <w:tcW w:w="850" w:type="dxa"/>
            <w:shd w:val="clear" w:color="000000" w:fill="538DD5"/>
            <w:noWrap/>
            <w:vAlign w:val="center"/>
            <w:hideMark/>
          </w:tcPr>
          <w:p w14:paraId="7792BAA2" w14:textId="77777777" w:rsidR="007F5968" w:rsidRPr="00E305B4" w:rsidRDefault="007F5968" w:rsidP="000F099B">
            <w:pPr>
              <w:jc w:val="right"/>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0%</w:t>
            </w:r>
          </w:p>
        </w:tc>
        <w:tc>
          <w:tcPr>
            <w:tcW w:w="3782" w:type="dxa"/>
            <w:shd w:val="clear" w:color="000000" w:fill="538DD5"/>
            <w:noWrap/>
            <w:vAlign w:val="center"/>
            <w:hideMark/>
          </w:tcPr>
          <w:p w14:paraId="530EC040"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 </w:t>
            </w:r>
          </w:p>
        </w:tc>
        <w:tc>
          <w:tcPr>
            <w:tcW w:w="1763" w:type="dxa"/>
            <w:shd w:val="clear" w:color="000000" w:fill="538DD5"/>
          </w:tcPr>
          <w:p w14:paraId="77F24A90" w14:textId="77777777" w:rsidR="007F5968" w:rsidRPr="00E305B4" w:rsidRDefault="007F5968" w:rsidP="000F099B">
            <w:pPr>
              <w:rPr>
                <w:rFonts w:asciiTheme="majorHAnsi" w:eastAsia="Times New Roman" w:hAnsiTheme="majorHAnsi" w:cstheme="majorHAnsi"/>
                <w:b/>
                <w:bCs/>
                <w:color w:val="FFFFFF"/>
                <w:sz w:val="16"/>
                <w:szCs w:val="16"/>
                <w:lang w:val="es-CO" w:eastAsia="es-CO"/>
              </w:rPr>
            </w:pPr>
          </w:p>
        </w:tc>
      </w:tr>
      <w:tr w:rsidR="00274728" w:rsidRPr="00E305B4" w14:paraId="1609C980" w14:textId="77777777" w:rsidTr="007F5968">
        <w:trPr>
          <w:trHeight w:val="20"/>
        </w:trPr>
        <w:tc>
          <w:tcPr>
            <w:tcW w:w="840" w:type="dxa"/>
            <w:shd w:val="clear" w:color="auto" w:fill="auto"/>
            <w:vAlign w:val="center"/>
            <w:hideMark/>
          </w:tcPr>
          <w:p w14:paraId="59E8B5E8"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10.2</w:t>
            </w:r>
          </w:p>
        </w:tc>
        <w:tc>
          <w:tcPr>
            <w:tcW w:w="1854" w:type="dxa"/>
            <w:shd w:val="clear" w:color="auto" w:fill="auto"/>
            <w:vAlign w:val="center"/>
            <w:hideMark/>
          </w:tcPr>
          <w:p w14:paraId="4F976DBB"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Mejora continua</w:t>
            </w:r>
          </w:p>
        </w:tc>
        <w:tc>
          <w:tcPr>
            <w:tcW w:w="2551" w:type="dxa"/>
            <w:shd w:val="clear" w:color="auto" w:fill="auto"/>
            <w:vAlign w:val="center"/>
            <w:hideMark/>
          </w:tcPr>
          <w:p w14:paraId="7F5980B6"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La organización debe mejorar continuamente la idoneidad, adecuación y eficacia del sistema de gestión de la seguridad de la información.</w:t>
            </w:r>
          </w:p>
        </w:tc>
        <w:tc>
          <w:tcPr>
            <w:tcW w:w="1368" w:type="dxa"/>
            <w:shd w:val="clear" w:color="000000" w:fill="C00000"/>
            <w:vAlign w:val="center"/>
            <w:hideMark/>
          </w:tcPr>
          <w:p w14:paraId="27ABC7E5" w14:textId="77777777" w:rsidR="007F5968" w:rsidRPr="00E305B4" w:rsidRDefault="007F5968" w:rsidP="000F099B">
            <w:pPr>
              <w:jc w:val="center"/>
              <w:rPr>
                <w:rFonts w:asciiTheme="majorHAnsi" w:eastAsia="Times New Roman" w:hAnsiTheme="majorHAnsi" w:cstheme="majorHAnsi"/>
                <w:b/>
                <w:bCs/>
                <w:color w:val="FFFFFF"/>
                <w:sz w:val="16"/>
                <w:szCs w:val="16"/>
                <w:lang w:val="es-CO" w:eastAsia="es-CO"/>
              </w:rPr>
            </w:pPr>
            <w:r w:rsidRPr="00E305B4">
              <w:rPr>
                <w:rFonts w:asciiTheme="majorHAnsi" w:eastAsia="Times New Roman" w:hAnsiTheme="majorHAnsi" w:cstheme="majorHAnsi"/>
                <w:b/>
                <w:bCs/>
                <w:color w:val="FFFFFF"/>
                <w:sz w:val="16"/>
                <w:szCs w:val="16"/>
                <w:lang w:val="es-CO" w:eastAsia="es-CO"/>
              </w:rPr>
              <w:t>NO</w:t>
            </w:r>
          </w:p>
        </w:tc>
        <w:tc>
          <w:tcPr>
            <w:tcW w:w="3246" w:type="dxa"/>
            <w:shd w:val="clear" w:color="auto" w:fill="auto"/>
            <w:vAlign w:val="center"/>
            <w:hideMark/>
          </w:tcPr>
          <w:p w14:paraId="042066C0"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Aun no se realiza el proceso de mejora para el sistema de gestión de seguridad de la información, que incluya la identificación de no conformidades y el planteamiento de acciones correctivas</w:t>
            </w:r>
          </w:p>
        </w:tc>
        <w:tc>
          <w:tcPr>
            <w:tcW w:w="1038" w:type="dxa"/>
            <w:shd w:val="clear" w:color="000000" w:fill="FF0000"/>
            <w:noWrap/>
            <w:vAlign w:val="center"/>
            <w:hideMark/>
          </w:tcPr>
          <w:p w14:paraId="6A127CF5" w14:textId="77777777" w:rsidR="007F5968" w:rsidRPr="00E305B4" w:rsidRDefault="007F5968" w:rsidP="000F099B">
            <w:pPr>
              <w:jc w:val="center"/>
              <w:rPr>
                <w:rFonts w:asciiTheme="majorHAnsi" w:eastAsia="Times New Roman" w:hAnsiTheme="majorHAnsi" w:cstheme="majorHAnsi"/>
                <w:sz w:val="16"/>
                <w:szCs w:val="16"/>
                <w:lang w:val="es-CO" w:eastAsia="es-CO"/>
              </w:rPr>
            </w:pPr>
            <w:r w:rsidRPr="00E305B4">
              <w:rPr>
                <w:rFonts w:asciiTheme="majorHAnsi" w:eastAsia="Times New Roman" w:hAnsiTheme="majorHAnsi" w:cstheme="majorHAnsi"/>
                <w:sz w:val="16"/>
                <w:szCs w:val="16"/>
                <w:lang w:val="es-CO" w:eastAsia="es-CO"/>
              </w:rPr>
              <w:t>Inexistente</w:t>
            </w:r>
          </w:p>
        </w:tc>
        <w:tc>
          <w:tcPr>
            <w:tcW w:w="850" w:type="dxa"/>
            <w:shd w:val="clear" w:color="auto" w:fill="auto"/>
            <w:noWrap/>
            <w:vAlign w:val="center"/>
            <w:hideMark/>
          </w:tcPr>
          <w:p w14:paraId="6250BF75" w14:textId="77777777" w:rsidR="007F5968" w:rsidRPr="00E305B4" w:rsidRDefault="007F5968" w:rsidP="000F099B">
            <w:pPr>
              <w:jc w:val="cente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0%</w:t>
            </w:r>
          </w:p>
        </w:tc>
        <w:tc>
          <w:tcPr>
            <w:tcW w:w="3782" w:type="dxa"/>
            <w:shd w:val="clear" w:color="auto" w:fill="auto"/>
            <w:vAlign w:val="center"/>
            <w:hideMark/>
          </w:tcPr>
          <w:p w14:paraId="4ECDE064" w14:textId="77777777" w:rsidR="007F5968" w:rsidRPr="00E305B4" w:rsidRDefault="007F5968" w:rsidP="000F099B">
            <w:pPr>
              <w:rPr>
                <w:rFonts w:asciiTheme="majorHAnsi" w:eastAsia="Times New Roman" w:hAnsiTheme="majorHAnsi" w:cstheme="majorHAnsi"/>
                <w:color w:val="000000"/>
                <w:sz w:val="16"/>
                <w:szCs w:val="16"/>
                <w:lang w:val="es-CO" w:eastAsia="es-CO"/>
              </w:rPr>
            </w:pPr>
            <w:r w:rsidRPr="00E305B4">
              <w:rPr>
                <w:rFonts w:asciiTheme="majorHAnsi" w:eastAsia="Times New Roman" w:hAnsiTheme="majorHAnsi" w:cstheme="majorHAnsi"/>
                <w:color w:val="000000"/>
                <w:sz w:val="16"/>
                <w:szCs w:val="16"/>
                <w:lang w:val="es-CO" w:eastAsia="es-CO"/>
              </w:rPr>
              <w:t>Se debe asegurar que la institución mejore continuamente la idoneidad, adecuación y eficacia del sistema de gestión de la seguridad de la información.</w:t>
            </w:r>
          </w:p>
        </w:tc>
        <w:tc>
          <w:tcPr>
            <w:tcW w:w="1763" w:type="dxa"/>
          </w:tcPr>
          <w:p w14:paraId="4B2643F4" w14:textId="77777777" w:rsidR="007F5968" w:rsidRPr="00E305B4" w:rsidRDefault="007F5968" w:rsidP="000F099B">
            <w:pPr>
              <w:rPr>
                <w:rFonts w:asciiTheme="majorHAnsi" w:eastAsia="Times New Roman" w:hAnsiTheme="majorHAnsi" w:cstheme="majorHAnsi"/>
                <w:color w:val="000000"/>
                <w:sz w:val="16"/>
                <w:szCs w:val="16"/>
                <w:lang w:val="es-CO" w:eastAsia="es-CO"/>
              </w:rPr>
            </w:pPr>
          </w:p>
        </w:tc>
      </w:tr>
    </w:tbl>
    <w:p w14:paraId="1083EF85" w14:textId="77777777" w:rsidR="000F099B" w:rsidRPr="000F2F03" w:rsidRDefault="000F099B" w:rsidP="000F099B">
      <w:pPr>
        <w:pStyle w:val="Ttulo2"/>
        <w:spacing w:before="0"/>
        <w:ind w:left="-142"/>
        <w:rPr>
          <w:rFonts w:ascii="Open Sans" w:hAnsi="Open Sans" w:cs="Open Sans"/>
          <w:sz w:val="22"/>
        </w:rPr>
      </w:pPr>
      <w:r>
        <w:rPr>
          <w:rFonts w:ascii="Open Sans" w:hAnsi="Open Sans" w:cs="Open Sans"/>
          <w:sz w:val="22"/>
        </w:rPr>
        <w:br w:type="page"/>
      </w:r>
    </w:p>
    <w:p w14:paraId="308887C0" w14:textId="77777777" w:rsidR="000F099B" w:rsidRDefault="000F099B" w:rsidP="000F099B">
      <w:pPr>
        <w:pStyle w:val="Ttulo2"/>
        <w:ind w:left="-142"/>
        <w:rPr>
          <w:rFonts w:ascii="Open Sans" w:hAnsi="Open Sans" w:cs="Open Sans"/>
          <w:sz w:val="22"/>
        </w:rPr>
      </w:pPr>
      <w:bookmarkStart w:id="76" w:name="_Toc528775210"/>
      <w:r w:rsidRPr="0026394A">
        <w:rPr>
          <w:rFonts w:ascii="Open Sans" w:hAnsi="Open Sans" w:cs="Open Sans"/>
          <w:sz w:val="22"/>
        </w:rPr>
        <w:lastRenderedPageBreak/>
        <w:t xml:space="preserve">ANEXO 2. DETALLE ANÁLISIS DE </w:t>
      </w:r>
      <w:r>
        <w:rPr>
          <w:rFonts w:ascii="Open Sans" w:hAnsi="Open Sans" w:cs="Open Sans"/>
          <w:sz w:val="22"/>
        </w:rPr>
        <w:t>GAP</w:t>
      </w:r>
      <w:r w:rsidRPr="0026394A">
        <w:rPr>
          <w:rFonts w:ascii="Open Sans" w:hAnsi="Open Sans" w:cs="Open Sans"/>
          <w:sz w:val="22"/>
        </w:rPr>
        <w:t xml:space="preserve"> REQUERIMIENTOS </w:t>
      </w:r>
      <w:r>
        <w:rPr>
          <w:rFonts w:ascii="Open Sans" w:hAnsi="Open Sans" w:cs="Open Sans"/>
          <w:sz w:val="22"/>
        </w:rPr>
        <w:t xml:space="preserve">ANEXO A - </w:t>
      </w:r>
      <w:r w:rsidRPr="0026394A">
        <w:rPr>
          <w:rFonts w:ascii="Open Sans" w:hAnsi="Open Sans" w:cs="Open Sans"/>
          <w:sz w:val="22"/>
        </w:rPr>
        <w:t>ISO/IEC 2700</w:t>
      </w:r>
      <w:r>
        <w:rPr>
          <w:rFonts w:ascii="Open Sans" w:hAnsi="Open Sans" w:cs="Open Sans"/>
          <w:sz w:val="22"/>
        </w:rPr>
        <w:t>1</w:t>
      </w:r>
      <w:r w:rsidRPr="0026394A">
        <w:rPr>
          <w:rFonts w:ascii="Open Sans" w:hAnsi="Open Sans" w:cs="Open Sans"/>
          <w:sz w:val="22"/>
        </w:rPr>
        <w:t>:2013</w:t>
      </w:r>
      <w:bookmarkEnd w:id="72"/>
      <w:bookmarkEnd w:id="76"/>
    </w:p>
    <w:p w14:paraId="00CCA0B4" w14:textId="77777777" w:rsidR="000F099B" w:rsidRDefault="000F099B" w:rsidP="000F099B"/>
    <w:tbl>
      <w:tblPr>
        <w:tblW w:w="17720"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6"/>
        <w:gridCol w:w="1156"/>
        <w:gridCol w:w="2551"/>
        <w:gridCol w:w="826"/>
        <w:gridCol w:w="3569"/>
        <w:gridCol w:w="1275"/>
        <w:gridCol w:w="1276"/>
        <w:gridCol w:w="851"/>
        <w:gridCol w:w="3827"/>
        <w:gridCol w:w="1843"/>
      </w:tblGrid>
      <w:tr w:rsidR="004A6248" w:rsidRPr="00795864" w14:paraId="4901B66F" w14:textId="77777777" w:rsidTr="004A6248">
        <w:trPr>
          <w:trHeight w:val="20"/>
          <w:tblHeader/>
        </w:trPr>
        <w:tc>
          <w:tcPr>
            <w:tcW w:w="546" w:type="dxa"/>
            <w:shd w:val="clear" w:color="000000" w:fill="DCE6F1"/>
            <w:vAlign w:val="center"/>
            <w:hideMark/>
          </w:tcPr>
          <w:p w14:paraId="453DC599" w14:textId="77777777" w:rsidR="004A6248" w:rsidRPr="00795864" w:rsidRDefault="004A6248" w:rsidP="000F099B">
            <w:pPr>
              <w:jc w:val="center"/>
              <w:rPr>
                <w:rFonts w:asciiTheme="majorHAnsi" w:eastAsia="Times New Roman" w:hAnsiTheme="majorHAnsi" w:cstheme="majorHAnsi"/>
                <w:b/>
                <w:bCs/>
                <w:color w:val="000000"/>
                <w:sz w:val="16"/>
                <w:szCs w:val="16"/>
                <w:lang w:val="es-CO" w:eastAsia="es-CO"/>
              </w:rPr>
            </w:pPr>
            <w:r w:rsidRPr="00795864">
              <w:rPr>
                <w:rFonts w:asciiTheme="majorHAnsi" w:eastAsia="Times New Roman" w:hAnsiTheme="majorHAnsi" w:cstheme="majorHAnsi"/>
                <w:b/>
                <w:bCs/>
                <w:color w:val="000000"/>
                <w:sz w:val="16"/>
                <w:szCs w:val="16"/>
                <w:lang w:val="es-CO" w:eastAsia="es-CO"/>
              </w:rPr>
              <w:t># ISO</w:t>
            </w:r>
          </w:p>
        </w:tc>
        <w:tc>
          <w:tcPr>
            <w:tcW w:w="1156" w:type="dxa"/>
            <w:shd w:val="clear" w:color="000000" w:fill="DCE6F1"/>
            <w:vAlign w:val="center"/>
            <w:hideMark/>
          </w:tcPr>
          <w:p w14:paraId="6DD25EDD" w14:textId="77777777" w:rsidR="004A6248" w:rsidRPr="00795864" w:rsidRDefault="004A6248" w:rsidP="000F099B">
            <w:pPr>
              <w:jc w:val="center"/>
              <w:rPr>
                <w:rFonts w:asciiTheme="majorHAnsi" w:eastAsia="Times New Roman" w:hAnsiTheme="majorHAnsi" w:cstheme="majorHAnsi"/>
                <w:b/>
                <w:bCs/>
                <w:color w:val="000000"/>
                <w:sz w:val="16"/>
                <w:szCs w:val="16"/>
                <w:lang w:val="es-CO" w:eastAsia="es-CO"/>
              </w:rPr>
            </w:pPr>
            <w:r w:rsidRPr="00795864">
              <w:rPr>
                <w:rFonts w:asciiTheme="majorHAnsi" w:eastAsia="Times New Roman" w:hAnsiTheme="majorHAnsi" w:cstheme="majorHAnsi"/>
                <w:b/>
                <w:bCs/>
                <w:color w:val="000000"/>
                <w:sz w:val="16"/>
                <w:szCs w:val="16"/>
                <w:lang w:val="es-CO" w:eastAsia="es-CO"/>
              </w:rPr>
              <w:t>Control</w:t>
            </w:r>
          </w:p>
        </w:tc>
        <w:tc>
          <w:tcPr>
            <w:tcW w:w="2551" w:type="dxa"/>
            <w:shd w:val="clear" w:color="000000" w:fill="DCE6F1"/>
            <w:vAlign w:val="center"/>
            <w:hideMark/>
          </w:tcPr>
          <w:p w14:paraId="3A8E3940" w14:textId="77777777" w:rsidR="004A6248" w:rsidRPr="00795864" w:rsidRDefault="004A6248" w:rsidP="000F099B">
            <w:pPr>
              <w:jc w:val="center"/>
              <w:rPr>
                <w:rFonts w:asciiTheme="majorHAnsi" w:eastAsia="Times New Roman" w:hAnsiTheme="majorHAnsi" w:cstheme="majorHAnsi"/>
                <w:b/>
                <w:bCs/>
                <w:color w:val="000000"/>
                <w:sz w:val="16"/>
                <w:szCs w:val="16"/>
                <w:lang w:val="es-CO" w:eastAsia="es-CO"/>
              </w:rPr>
            </w:pPr>
            <w:r w:rsidRPr="00795864">
              <w:rPr>
                <w:rFonts w:asciiTheme="majorHAnsi" w:eastAsia="Times New Roman" w:hAnsiTheme="majorHAnsi" w:cstheme="majorHAnsi"/>
                <w:b/>
                <w:bCs/>
                <w:color w:val="000000"/>
                <w:sz w:val="16"/>
                <w:szCs w:val="16"/>
                <w:lang w:val="es-CO" w:eastAsia="es-CO"/>
              </w:rPr>
              <w:t>Descripción del control</w:t>
            </w:r>
          </w:p>
        </w:tc>
        <w:tc>
          <w:tcPr>
            <w:tcW w:w="826" w:type="dxa"/>
            <w:shd w:val="clear" w:color="000000" w:fill="DCE6F1"/>
            <w:vAlign w:val="center"/>
            <w:hideMark/>
          </w:tcPr>
          <w:p w14:paraId="7D37148D" w14:textId="77777777" w:rsidR="004A6248" w:rsidRPr="00795864" w:rsidRDefault="004A6248" w:rsidP="000F099B">
            <w:pPr>
              <w:jc w:val="center"/>
              <w:rPr>
                <w:rFonts w:asciiTheme="majorHAnsi" w:eastAsia="Times New Roman" w:hAnsiTheme="majorHAnsi" w:cstheme="majorHAnsi"/>
                <w:b/>
                <w:bCs/>
                <w:color w:val="000000"/>
                <w:sz w:val="16"/>
                <w:szCs w:val="16"/>
                <w:lang w:val="es-CO" w:eastAsia="es-CO"/>
              </w:rPr>
            </w:pPr>
            <w:r w:rsidRPr="00795864">
              <w:rPr>
                <w:rFonts w:asciiTheme="majorHAnsi" w:eastAsia="Times New Roman" w:hAnsiTheme="majorHAnsi" w:cstheme="majorHAnsi"/>
                <w:b/>
                <w:bCs/>
                <w:color w:val="000000"/>
                <w:sz w:val="16"/>
                <w:szCs w:val="16"/>
                <w:lang w:val="es-CO" w:eastAsia="es-CO"/>
              </w:rPr>
              <w:t>Aplicación</w:t>
            </w:r>
          </w:p>
        </w:tc>
        <w:tc>
          <w:tcPr>
            <w:tcW w:w="3569" w:type="dxa"/>
            <w:shd w:val="clear" w:color="000000" w:fill="DCE6F1"/>
            <w:vAlign w:val="center"/>
            <w:hideMark/>
          </w:tcPr>
          <w:p w14:paraId="451C704A" w14:textId="77777777" w:rsidR="004A6248" w:rsidRPr="00795864" w:rsidRDefault="004A6248" w:rsidP="000F099B">
            <w:pPr>
              <w:jc w:val="center"/>
              <w:rPr>
                <w:rFonts w:asciiTheme="majorHAnsi" w:eastAsia="Times New Roman" w:hAnsiTheme="majorHAnsi" w:cstheme="majorHAnsi"/>
                <w:b/>
                <w:bCs/>
                <w:color w:val="000000"/>
                <w:sz w:val="16"/>
                <w:szCs w:val="16"/>
                <w:lang w:val="es-CO" w:eastAsia="es-CO"/>
              </w:rPr>
            </w:pPr>
            <w:r w:rsidRPr="00795864">
              <w:rPr>
                <w:rFonts w:asciiTheme="majorHAnsi" w:eastAsia="Times New Roman" w:hAnsiTheme="majorHAnsi" w:cstheme="majorHAnsi"/>
                <w:b/>
                <w:bCs/>
                <w:color w:val="000000"/>
                <w:sz w:val="16"/>
                <w:szCs w:val="16"/>
                <w:lang w:val="es-CO" w:eastAsia="es-CO"/>
              </w:rPr>
              <w:t>Situación actual</w:t>
            </w:r>
          </w:p>
        </w:tc>
        <w:tc>
          <w:tcPr>
            <w:tcW w:w="1275" w:type="dxa"/>
            <w:shd w:val="clear" w:color="000000" w:fill="DCE6F1"/>
            <w:vAlign w:val="center"/>
            <w:hideMark/>
          </w:tcPr>
          <w:p w14:paraId="6F0CA584" w14:textId="77777777" w:rsidR="004A6248" w:rsidRPr="00795864" w:rsidRDefault="004A6248" w:rsidP="000F099B">
            <w:pPr>
              <w:jc w:val="center"/>
              <w:rPr>
                <w:rFonts w:asciiTheme="majorHAnsi" w:eastAsia="Times New Roman" w:hAnsiTheme="majorHAnsi" w:cstheme="majorHAnsi"/>
                <w:b/>
                <w:bCs/>
                <w:color w:val="000000"/>
                <w:sz w:val="16"/>
                <w:szCs w:val="16"/>
                <w:lang w:val="es-CO" w:eastAsia="es-CO"/>
              </w:rPr>
            </w:pPr>
            <w:r w:rsidRPr="00795864">
              <w:rPr>
                <w:rFonts w:asciiTheme="majorHAnsi" w:eastAsia="Times New Roman" w:hAnsiTheme="majorHAnsi" w:cstheme="majorHAnsi"/>
                <w:b/>
                <w:bCs/>
                <w:color w:val="000000"/>
                <w:sz w:val="16"/>
                <w:szCs w:val="16"/>
                <w:lang w:val="es-CO" w:eastAsia="es-CO"/>
              </w:rPr>
              <w:t>¿Implementado?</w:t>
            </w:r>
          </w:p>
        </w:tc>
        <w:tc>
          <w:tcPr>
            <w:tcW w:w="1276" w:type="dxa"/>
            <w:shd w:val="clear" w:color="000000" w:fill="DCE6F1"/>
            <w:vAlign w:val="center"/>
            <w:hideMark/>
          </w:tcPr>
          <w:p w14:paraId="5336A29A"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Madurez</w:t>
            </w:r>
          </w:p>
        </w:tc>
        <w:tc>
          <w:tcPr>
            <w:tcW w:w="851" w:type="dxa"/>
            <w:shd w:val="clear" w:color="000000" w:fill="C5D9F1"/>
            <w:vAlign w:val="center"/>
            <w:hideMark/>
          </w:tcPr>
          <w:p w14:paraId="7208CC47"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 Madurez</w:t>
            </w:r>
          </w:p>
        </w:tc>
        <w:tc>
          <w:tcPr>
            <w:tcW w:w="3827" w:type="dxa"/>
            <w:shd w:val="clear" w:color="000000" w:fill="C5D9F1"/>
            <w:vAlign w:val="center"/>
            <w:hideMark/>
          </w:tcPr>
          <w:p w14:paraId="5691B3EE"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Plan de Acción</w:t>
            </w:r>
          </w:p>
        </w:tc>
        <w:tc>
          <w:tcPr>
            <w:tcW w:w="1843" w:type="dxa"/>
            <w:shd w:val="clear" w:color="000000" w:fill="C5D9F1"/>
          </w:tcPr>
          <w:p w14:paraId="2EB0A048"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Pr>
                <w:rFonts w:asciiTheme="majorHAnsi" w:eastAsia="Times New Roman" w:hAnsiTheme="majorHAnsi" w:cstheme="majorHAnsi"/>
                <w:b/>
                <w:bCs/>
                <w:sz w:val="16"/>
                <w:szCs w:val="16"/>
                <w:lang w:val="es-CO" w:eastAsia="es-CO"/>
              </w:rPr>
              <w:t>Soportes</w:t>
            </w:r>
          </w:p>
        </w:tc>
      </w:tr>
      <w:tr w:rsidR="004A6248" w:rsidRPr="00795864" w14:paraId="207EB664" w14:textId="77777777" w:rsidTr="004A6248">
        <w:trPr>
          <w:trHeight w:val="20"/>
        </w:trPr>
        <w:tc>
          <w:tcPr>
            <w:tcW w:w="546" w:type="dxa"/>
            <w:shd w:val="clear" w:color="000000" w:fill="1F497D"/>
            <w:vAlign w:val="center"/>
            <w:hideMark/>
          </w:tcPr>
          <w:p w14:paraId="61C096B7"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5</w:t>
            </w:r>
          </w:p>
        </w:tc>
        <w:tc>
          <w:tcPr>
            <w:tcW w:w="8102" w:type="dxa"/>
            <w:gridSpan w:val="4"/>
            <w:shd w:val="clear" w:color="000000" w:fill="1F497D"/>
            <w:noWrap/>
            <w:vAlign w:val="center"/>
            <w:hideMark/>
          </w:tcPr>
          <w:p w14:paraId="3462D4E1"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POLÍTICAS DE SEGURIDAD DE LA INFORMACIÓN</w:t>
            </w:r>
          </w:p>
        </w:tc>
        <w:tc>
          <w:tcPr>
            <w:tcW w:w="1275" w:type="dxa"/>
            <w:shd w:val="clear" w:color="000000" w:fill="1F497D"/>
            <w:noWrap/>
            <w:vAlign w:val="center"/>
            <w:hideMark/>
          </w:tcPr>
          <w:p w14:paraId="4E8D92E1"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276" w:type="dxa"/>
            <w:shd w:val="clear" w:color="000000" w:fill="1F497D"/>
            <w:noWrap/>
            <w:vAlign w:val="center"/>
            <w:hideMark/>
          </w:tcPr>
          <w:p w14:paraId="2848A51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851" w:type="dxa"/>
            <w:shd w:val="clear" w:color="000000" w:fill="1F497D"/>
            <w:vAlign w:val="center"/>
            <w:hideMark/>
          </w:tcPr>
          <w:p w14:paraId="05F25E04" w14:textId="77777777" w:rsidR="004A6248" w:rsidRPr="00795864" w:rsidRDefault="00225C3B" w:rsidP="000F099B">
            <w:pPr>
              <w:jc w:val="center"/>
              <w:rPr>
                <w:rFonts w:asciiTheme="majorHAnsi" w:eastAsia="Times New Roman" w:hAnsiTheme="majorHAnsi" w:cstheme="majorHAnsi"/>
                <w:b/>
                <w:bCs/>
                <w:color w:val="FFFFFF"/>
                <w:sz w:val="16"/>
                <w:szCs w:val="16"/>
                <w:lang w:val="es-CO" w:eastAsia="es-CO"/>
              </w:rPr>
            </w:pPr>
            <w:r>
              <w:rPr>
                <w:rFonts w:asciiTheme="majorHAnsi" w:eastAsia="Times New Roman" w:hAnsiTheme="majorHAnsi" w:cstheme="majorHAnsi"/>
                <w:b/>
                <w:bCs/>
                <w:color w:val="FFFFFF"/>
                <w:sz w:val="16"/>
                <w:szCs w:val="16"/>
                <w:lang w:val="es-CO" w:eastAsia="es-CO"/>
              </w:rPr>
              <w:t>10</w:t>
            </w:r>
            <w:r w:rsidR="004A6248" w:rsidRPr="00795864">
              <w:rPr>
                <w:rFonts w:asciiTheme="majorHAnsi" w:eastAsia="Times New Roman" w:hAnsiTheme="majorHAnsi" w:cstheme="majorHAnsi"/>
                <w:b/>
                <w:bCs/>
                <w:color w:val="FFFFFF"/>
                <w:sz w:val="16"/>
                <w:szCs w:val="16"/>
                <w:lang w:val="es-CO" w:eastAsia="es-CO"/>
              </w:rPr>
              <w:t>0%</w:t>
            </w:r>
          </w:p>
        </w:tc>
        <w:tc>
          <w:tcPr>
            <w:tcW w:w="3827" w:type="dxa"/>
            <w:shd w:val="clear" w:color="000000" w:fill="1F497D"/>
            <w:vAlign w:val="center"/>
            <w:hideMark/>
          </w:tcPr>
          <w:p w14:paraId="3E0D8031"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1F497D"/>
          </w:tcPr>
          <w:p w14:paraId="26FBAF3E"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14B0B9EA" w14:textId="77777777" w:rsidTr="004A6248">
        <w:trPr>
          <w:trHeight w:val="20"/>
        </w:trPr>
        <w:tc>
          <w:tcPr>
            <w:tcW w:w="546" w:type="dxa"/>
            <w:shd w:val="clear" w:color="000000" w:fill="538DD5"/>
            <w:vAlign w:val="center"/>
            <w:hideMark/>
          </w:tcPr>
          <w:p w14:paraId="3827DE24"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5.1</w:t>
            </w:r>
          </w:p>
        </w:tc>
        <w:tc>
          <w:tcPr>
            <w:tcW w:w="8102" w:type="dxa"/>
            <w:gridSpan w:val="4"/>
            <w:shd w:val="clear" w:color="000000" w:fill="538DD5"/>
            <w:noWrap/>
            <w:vAlign w:val="center"/>
            <w:hideMark/>
          </w:tcPr>
          <w:p w14:paraId="6C81CD50"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Orientación de la dirección para la gestión de seguridad de la información</w:t>
            </w:r>
          </w:p>
        </w:tc>
        <w:tc>
          <w:tcPr>
            <w:tcW w:w="1275" w:type="dxa"/>
            <w:shd w:val="clear" w:color="000000" w:fill="538DD5"/>
            <w:noWrap/>
            <w:vAlign w:val="center"/>
            <w:hideMark/>
          </w:tcPr>
          <w:p w14:paraId="4AAE65C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276" w:type="dxa"/>
            <w:shd w:val="clear" w:color="000000" w:fill="538DD5"/>
            <w:noWrap/>
            <w:vAlign w:val="center"/>
            <w:hideMark/>
          </w:tcPr>
          <w:p w14:paraId="1F837CE7"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851" w:type="dxa"/>
            <w:shd w:val="clear" w:color="000000" w:fill="538DD5"/>
            <w:vAlign w:val="center"/>
            <w:hideMark/>
          </w:tcPr>
          <w:p w14:paraId="125B7C31" w14:textId="77777777" w:rsidR="004A6248" w:rsidRPr="00795864" w:rsidRDefault="00225C3B" w:rsidP="000F099B">
            <w:pPr>
              <w:jc w:val="center"/>
              <w:rPr>
                <w:rFonts w:asciiTheme="majorHAnsi" w:eastAsia="Times New Roman" w:hAnsiTheme="majorHAnsi" w:cstheme="majorHAnsi"/>
                <w:b/>
                <w:bCs/>
                <w:color w:val="FFFFFF"/>
                <w:sz w:val="16"/>
                <w:szCs w:val="16"/>
                <w:lang w:val="es-CO" w:eastAsia="es-CO"/>
              </w:rPr>
            </w:pPr>
            <w:r>
              <w:rPr>
                <w:rFonts w:asciiTheme="majorHAnsi" w:eastAsia="Times New Roman" w:hAnsiTheme="majorHAnsi" w:cstheme="majorHAnsi"/>
                <w:b/>
                <w:bCs/>
                <w:color w:val="FFFFFF"/>
                <w:sz w:val="16"/>
                <w:szCs w:val="16"/>
                <w:lang w:val="es-CO" w:eastAsia="es-CO"/>
              </w:rPr>
              <w:t>100</w:t>
            </w:r>
            <w:r w:rsidR="004A6248" w:rsidRPr="00795864">
              <w:rPr>
                <w:rFonts w:asciiTheme="majorHAnsi" w:eastAsia="Times New Roman" w:hAnsiTheme="majorHAnsi" w:cstheme="majorHAnsi"/>
                <w:b/>
                <w:bCs/>
                <w:color w:val="FFFFFF"/>
                <w:sz w:val="16"/>
                <w:szCs w:val="16"/>
                <w:lang w:val="es-CO" w:eastAsia="es-CO"/>
              </w:rPr>
              <w:t>%</w:t>
            </w:r>
          </w:p>
        </w:tc>
        <w:tc>
          <w:tcPr>
            <w:tcW w:w="3827" w:type="dxa"/>
            <w:shd w:val="clear" w:color="000000" w:fill="538DD5"/>
            <w:vAlign w:val="center"/>
            <w:hideMark/>
          </w:tcPr>
          <w:p w14:paraId="5AB82836"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65EB733C"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6EEBA115" w14:textId="77777777" w:rsidTr="004A6248">
        <w:trPr>
          <w:trHeight w:val="20"/>
        </w:trPr>
        <w:tc>
          <w:tcPr>
            <w:tcW w:w="546" w:type="dxa"/>
            <w:shd w:val="clear" w:color="000000" w:fill="538DD5"/>
            <w:vAlign w:val="center"/>
            <w:hideMark/>
          </w:tcPr>
          <w:p w14:paraId="5AD8F5D0"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5331" w:type="dxa"/>
            <w:gridSpan w:val="8"/>
            <w:shd w:val="clear" w:color="000000" w:fill="538DD5"/>
            <w:noWrap/>
            <w:vAlign w:val="center"/>
            <w:hideMark/>
          </w:tcPr>
          <w:p w14:paraId="505B020E"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Brindar orientación y soporte, por parte de la dirección, para la seguridad de la información de acuerdo con los requisitos del negocio, las leyes y reglamentos pertinentes.</w:t>
            </w:r>
          </w:p>
        </w:tc>
        <w:tc>
          <w:tcPr>
            <w:tcW w:w="1843" w:type="dxa"/>
            <w:shd w:val="clear" w:color="000000" w:fill="538DD5"/>
          </w:tcPr>
          <w:p w14:paraId="4E6AB697" w14:textId="77777777" w:rsidR="004A6248" w:rsidRPr="00795864" w:rsidRDefault="004A6248" w:rsidP="000F099B">
            <w:pPr>
              <w:rPr>
                <w:rFonts w:asciiTheme="majorHAnsi" w:eastAsia="Times New Roman" w:hAnsiTheme="majorHAnsi" w:cstheme="majorHAnsi"/>
                <w:color w:val="FFFFFF"/>
                <w:sz w:val="16"/>
                <w:szCs w:val="16"/>
                <w:lang w:val="es-CO" w:eastAsia="es-CO"/>
              </w:rPr>
            </w:pPr>
          </w:p>
        </w:tc>
      </w:tr>
      <w:tr w:rsidR="004A6248" w:rsidRPr="00795864" w14:paraId="29F15F86" w14:textId="77777777" w:rsidTr="004A6248">
        <w:trPr>
          <w:trHeight w:val="20"/>
        </w:trPr>
        <w:tc>
          <w:tcPr>
            <w:tcW w:w="546" w:type="dxa"/>
            <w:shd w:val="clear" w:color="auto" w:fill="auto"/>
            <w:vAlign w:val="center"/>
            <w:hideMark/>
          </w:tcPr>
          <w:p w14:paraId="608FA7DA"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5.1.1</w:t>
            </w:r>
          </w:p>
        </w:tc>
        <w:tc>
          <w:tcPr>
            <w:tcW w:w="1156" w:type="dxa"/>
            <w:shd w:val="clear" w:color="auto" w:fill="auto"/>
            <w:vAlign w:val="center"/>
            <w:hideMark/>
          </w:tcPr>
          <w:p w14:paraId="02272E8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Políticas para la seguridad de la información</w:t>
            </w:r>
          </w:p>
        </w:tc>
        <w:tc>
          <w:tcPr>
            <w:tcW w:w="2551" w:type="dxa"/>
            <w:shd w:val="clear" w:color="auto" w:fill="auto"/>
            <w:vAlign w:val="center"/>
            <w:hideMark/>
          </w:tcPr>
          <w:p w14:paraId="34311D8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 definir un conjunto de políticas para la seguridad de la información, aprobada por la dirección, publicada y comunicada a los empleados y partes externas pertinentes.</w:t>
            </w:r>
          </w:p>
        </w:tc>
        <w:tc>
          <w:tcPr>
            <w:tcW w:w="826" w:type="dxa"/>
            <w:shd w:val="clear" w:color="000000" w:fill="008000"/>
            <w:vAlign w:val="center"/>
            <w:hideMark/>
          </w:tcPr>
          <w:p w14:paraId="5B46A321"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3FED06B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En la Resolución 0186 de 2019</w:t>
            </w:r>
            <w:r w:rsidRPr="00795864">
              <w:rPr>
                <w:rFonts w:asciiTheme="majorHAnsi" w:eastAsia="Times New Roman" w:hAnsiTheme="majorHAnsi" w:cstheme="majorHAnsi"/>
                <w:color w:val="000000"/>
                <w:sz w:val="16"/>
                <w:szCs w:val="16"/>
                <w:lang w:val="es-CO" w:eastAsia="es-CO"/>
              </w:rPr>
              <w:t>, el director general aprueba la actualización de la política de seguridad de la información, la cual incluye: objetivos de la seguridad de la información, alcance, políticas específicas, responsables.</w:t>
            </w:r>
            <w:r w:rsidRPr="00795864">
              <w:rPr>
                <w:rFonts w:asciiTheme="majorHAnsi" w:eastAsia="Times New Roman" w:hAnsiTheme="majorHAnsi" w:cstheme="majorHAnsi"/>
                <w:color w:val="000000"/>
                <w:sz w:val="16"/>
                <w:szCs w:val="16"/>
                <w:lang w:val="es-CO" w:eastAsia="es-CO"/>
              </w:rPr>
              <w:br/>
              <w:t>Adicionalmente, existe un manual de políticas de seguridad de la información en versión borrador.</w:t>
            </w:r>
          </w:p>
        </w:tc>
        <w:tc>
          <w:tcPr>
            <w:tcW w:w="1275" w:type="dxa"/>
            <w:shd w:val="clear" w:color="000000" w:fill="92D050"/>
            <w:vAlign w:val="center"/>
            <w:hideMark/>
          </w:tcPr>
          <w:p w14:paraId="0327C9F7"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SI</w:t>
            </w:r>
          </w:p>
        </w:tc>
        <w:tc>
          <w:tcPr>
            <w:tcW w:w="1276" w:type="dxa"/>
            <w:shd w:val="clear" w:color="000000" w:fill="0070C0"/>
            <w:vAlign w:val="center"/>
            <w:hideMark/>
          </w:tcPr>
          <w:p w14:paraId="287BCBA5"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3040344A"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10</w:t>
            </w:r>
            <w:r w:rsidRPr="00795864">
              <w:rPr>
                <w:rFonts w:asciiTheme="majorHAnsi" w:eastAsia="Times New Roman" w:hAnsiTheme="majorHAnsi" w:cstheme="majorHAnsi"/>
                <w:color w:val="000000"/>
                <w:sz w:val="16"/>
                <w:szCs w:val="16"/>
                <w:lang w:val="es-CO" w:eastAsia="es-CO"/>
              </w:rPr>
              <w:t>0%</w:t>
            </w:r>
          </w:p>
        </w:tc>
        <w:tc>
          <w:tcPr>
            <w:tcW w:w="3827" w:type="dxa"/>
            <w:shd w:val="clear" w:color="auto" w:fill="auto"/>
            <w:vAlign w:val="center"/>
            <w:hideMark/>
          </w:tcPr>
          <w:p w14:paraId="2A22BFF8" w14:textId="77777777" w:rsidR="004A6248"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Revisar las políticas de seguridad de la información para que estén acordes con los objetivos estratégicos del INS</w:t>
            </w:r>
          </w:p>
          <w:p w14:paraId="122B52B5" w14:textId="77777777" w:rsidR="004A6248" w:rsidRDefault="004A6248" w:rsidP="000F099B">
            <w:pPr>
              <w:rPr>
                <w:rFonts w:asciiTheme="majorHAnsi" w:eastAsia="Times New Roman" w:hAnsiTheme="majorHAnsi" w:cstheme="majorHAnsi"/>
                <w:color w:val="000000"/>
                <w:sz w:val="16"/>
                <w:szCs w:val="16"/>
                <w:lang w:val="es-CO" w:eastAsia="es-CO"/>
              </w:rPr>
            </w:pPr>
          </w:p>
          <w:p w14:paraId="2310936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4A6248">
              <w:rPr>
                <w:rFonts w:asciiTheme="majorHAnsi" w:eastAsia="Times New Roman" w:hAnsiTheme="majorHAnsi" w:cstheme="majorHAnsi"/>
                <w:color w:val="000000"/>
                <w:sz w:val="16"/>
                <w:szCs w:val="16"/>
                <w:highlight w:val="green"/>
                <w:lang w:val="es-CO" w:eastAsia="es-CO"/>
              </w:rPr>
              <w:t>CUMPLIDO</w:t>
            </w:r>
          </w:p>
        </w:tc>
        <w:tc>
          <w:tcPr>
            <w:tcW w:w="1843" w:type="dxa"/>
          </w:tcPr>
          <w:p w14:paraId="4DF4230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 xml:space="preserve">Ya se actualizo </w:t>
            </w:r>
          </w:p>
        </w:tc>
      </w:tr>
      <w:tr w:rsidR="004A6248" w:rsidRPr="00795864" w14:paraId="3643ABCF" w14:textId="77777777" w:rsidTr="004A6248">
        <w:trPr>
          <w:trHeight w:val="20"/>
        </w:trPr>
        <w:tc>
          <w:tcPr>
            <w:tcW w:w="546" w:type="dxa"/>
            <w:shd w:val="clear" w:color="auto" w:fill="auto"/>
            <w:vAlign w:val="center"/>
            <w:hideMark/>
          </w:tcPr>
          <w:p w14:paraId="2BEA5B31"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5.1.2</w:t>
            </w:r>
          </w:p>
        </w:tc>
        <w:tc>
          <w:tcPr>
            <w:tcW w:w="1156" w:type="dxa"/>
            <w:shd w:val="clear" w:color="auto" w:fill="auto"/>
            <w:vAlign w:val="center"/>
            <w:hideMark/>
          </w:tcPr>
          <w:p w14:paraId="58B9338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Revisión de las políticas para seguridad de la información</w:t>
            </w:r>
          </w:p>
        </w:tc>
        <w:tc>
          <w:tcPr>
            <w:tcW w:w="2551" w:type="dxa"/>
            <w:shd w:val="clear" w:color="auto" w:fill="auto"/>
            <w:vAlign w:val="center"/>
            <w:hideMark/>
          </w:tcPr>
          <w:p w14:paraId="53FA9BE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Las políticas para seguridad de la información se deben revisar a intervalos planificados, o si ocurren cambios significativos, para asegurar su idoneidad, adecuación y eficacia continuas.</w:t>
            </w:r>
          </w:p>
        </w:tc>
        <w:tc>
          <w:tcPr>
            <w:tcW w:w="826" w:type="dxa"/>
            <w:shd w:val="clear" w:color="000000" w:fill="008000"/>
            <w:vAlign w:val="center"/>
            <w:hideMark/>
          </w:tcPr>
          <w:p w14:paraId="503AFEC6"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024CCB53" w14:textId="77777777" w:rsidR="004A6248" w:rsidRPr="00795864" w:rsidRDefault="004A6248" w:rsidP="000519A9">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La última vez que se revisó las políticas de seguridad de la información fue cuando se aprobó la Resolución </w:t>
            </w:r>
            <w:r>
              <w:rPr>
                <w:rFonts w:asciiTheme="majorHAnsi" w:eastAsia="Times New Roman" w:hAnsiTheme="majorHAnsi" w:cstheme="majorHAnsi"/>
                <w:color w:val="000000"/>
                <w:sz w:val="16"/>
                <w:szCs w:val="16"/>
                <w:lang w:val="es-CO" w:eastAsia="es-CO"/>
              </w:rPr>
              <w:t>0186</w:t>
            </w:r>
            <w:r w:rsidRPr="00795864">
              <w:rPr>
                <w:rFonts w:asciiTheme="majorHAnsi" w:eastAsia="Times New Roman" w:hAnsiTheme="majorHAnsi" w:cstheme="majorHAnsi"/>
                <w:color w:val="000000"/>
                <w:sz w:val="16"/>
                <w:szCs w:val="16"/>
                <w:lang w:val="es-CO" w:eastAsia="es-CO"/>
              </w:rPr>
              <w:t xml:space="preserve"> de 201</w:t>
            </w:r>
            <w:r>
              <w:rPr>
                <w:rFonts w:asciiTheme="majorHAnsi" w:eastAsia="Times New Roman" w:hAnsiTheme="majorHAnsi" w:cstheme="majorHAnsi"/>
                <w:color w:val="000000"/>
                <w:sz w:val="16"/>
                <w:szCs w:val="16"/>
                <w:lang w:val="es-CO" w:eastAsia="es-CO"/>
              </w:rPr>
              <w:t>9</w:t>
            </w:r>
            <w:r w:rsidRPr="00795864">
              <w:rPr>
                <w:rFonts w:asciiTheme="majorHAnsi" w:eastAsia="Times New Roman" w:hAnsiTheme="majorHAnsi" w:cstheme="majorHAnsi"/>
                <w:color w:val="000000"/>
                <w:sz w:val="16"/>
                <w:szCs w:val="16"/>
                <w:lang w:val="es-CO" w:eastAsia="es-CO"/>
              </w:rPr>
              <w:t>.</w:t>
            </w:r>
          </w:p>
        </w:tc>
        <w:tc>
          <w:tcPr>
            <w:tcW w:w="1275" w:type="dxa"/>
            <w:shd w:val="clear" w:color="000000" w:fill="92D050"/>
            <w:vAlign w:val="center"/>
            <w:hideMark/>
          </w:tcPr>
          <w:p w14:paraId="5720D703"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SI</w:t>
            </w:r>
          </w:p>
        </w:tc>
        <w:tc>
          <w:tcPr>
            <w:tcW w:w="1276" w:type="dxa"/>
            <w:shd w:val="clear" w:color="000000" w:fill="0070C0"/>
            <w:vAlign w:val="center"/>
            <w:hideMark/>
          </w:tcPr>
          <w:p w14:paraId="21E58036"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7C74543B"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10</w:t>
            </w:r>
            <w:r w:rsidRPr="00795864">
              <w:rPr>
                <w:rFonts w:asciiTheme="majorHAnsi" w:eastAsia="Times New Roman" w:hAnsiTheme="majorHAnsi" w:cstheme="majorHAnsi"/>
                <w:color w:val="000000"/>
                <w:sz w:val="16"/>
                <w:szCs w:val="16"/>
                <w:lang w:val="es-CO" w:eastAsia="es-CO"/>
              </w:rPr>
              <w:t>0%</w:t>
            </w:r>
          </w:p>
        </w:tc>
        <w:tc>
          <w:tcPr>
            <w:tcW w:w="3827" w:type="dxa"/>
            <w:shd w:val="clear" w:color="auto" w:fill="auto"/>
            <w:vAlign w:val="center"/>
            <w:hideMark/>
          </w:tcPr>
          <w:p w14:paraId="15D0599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recomienda que la política de la seguridad de la información no solo se revise anualmente, sino también cuando ocurran cambios significativos en el INS, a nivel de procesos misionales, o si se han identificado vulnerabilidades del SGSI que deban ser corregidas inmediatamente.</w:t>
            </w:r>
          </w:p>
        </w:tc>
        <w:tc>
          <w:tcPr>
            <w:tcW w:w="1843" w:type="dxa"/>
          </w:tcPr>
          <w:p w14:paraId="750AB160"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7797501C" w14:textId="77777777" w:rsidTr="004A6248">
        <w:trPr>
          <w:trHeight w:val="20"/>
        </w:trPr>
        <w:tc>
          <w:tcPr>
            <w:tcW w:w="546" w:type="dxa"/>
            <w:shd w:val="clear" w:color="000000" w:fill="1F497D"/>
            <w:vAlign w:val="center"/>
            <w:hideMark/>
          </w:tcPr>
          <w:p w14:paraId="5D22E875"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6</w:t>
            </w:r>
          </w:p>
        </w:tc>
        <w:tc>
          <w:tcPr>
            <w:tcW w:w="8102" w:type="dxa"/>
            <w:gridSpan w:val="4"/>
            <w:shd w:val="clear" w:color="000000" w:fill="1F497D"/>
            <w:noWrap/>
            <w:vAlign w:val="center"/>
            <w:hideMark/>
          </w:tcPr>
          <w:p w14:paraId="1F3CBC8E"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ORGANIZACIÓN DE LA SEGURIDAD DE LA INFORMACIÓN</w:t>
            </w:r>
          </w:p>
        </w:tc>
        <w:tc>
          <w:tcPr>
            <w:tcW w:w="1275" w:type="dxa"/>
            <w:shd w:val="clear" w:color="000000" w:fill="1F497D"/>
            <w:noWrap/>
            <w:vAlign w:val="center"/>
            <w:hideMark/>
          </w:tcPr>
          <w:p w14:paraId="781A4436"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276" w:type="dxa"/>
            <w:shd w:val="clear" w:color="000000" w:fill="1F497D"/>
            <w:noWrap/>
            <w:vAlign w:val="center"/>
            <w:hideMark/>
          </w:tcPr>
          <w:p w14:paraId="22B7C76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w:t>
            </w:r>
          </w:p>
        </w:tc>
        <w:tc>
          <w:tcPr>
            <w:tcW w:w="851" w:type="dxa"/>
            <w:shd w:val="clear" w:color="000000" w:fill="1F497D"/>
            <w:vAlign w:val="center"/>
            <w:hideMark/>
          </w:tcPr>
          <w:p w14:paraId="7F697096"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32%</w:t>
            </w:r>
          </w:p>
        </w:tc>
        <w:tc>
          <w:tcPr>
            <w:tcW w:w="3827" w:type="dxa"/>
            <w:shd w:val="clear" w:color="000000" w:fill="1F497D"/>
            <w:vAlign w:val="center"/>
            <w:hideMark/>
          </w:tcPr>
          <w:p w14:paraId="0B113736"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1F497D"/>
          </w:tcPr>
          <w:p w14:paraId="2E7FCAE4"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274D78B6" w14:textId="77777777" w:rsidTr="004A6248">
        <w:trPr>
          <w:trHeight w:val="20"/>
        </w:trPr>
        <w:tc>
          <w:tcPr>
            <w:tcW w:w="546" w:type="dxa"/>
            <w:shd w:val="clear" w:color="000000" w:fill="538DD5"/>
            <w:vAlign w:val="center"/>
            <w:hideMark/>
          </w:tcPr>
          <w:p w14:paraId="02E946B9"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6.1</w:t>
            </w:r>
          </w:p>
        </w:tc>
        <w:tc>
          <w:tcPr>
            <w:tcW w:w="4533" w:type="dxa"/>
            <w:gridSpan w:val="3"/>
            <w:shd w:val="clear" w:color="000000" w:fill="538DD5"/>
            <w:noWrap/>
            <w:vAlign w:val="center"/>
            <w:hideMark/>
          </w:tcPr>
          <w:p w14:paraId="4A4AE71F"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Organización interna</w:t>
            </w:r>
          </w:p>
        </w:tc>
        <w:tc>
          <w:tcPr>
            <w:tcW w:w="3569" w:type="dxa"/>
            <w:shd w:val="clear" w:color="000000" w:fill="538DD5"/>
            <w:noWrap/>
            <w:vAlign w:val="center"/>
            <w:hideMark/>
          </w:tcPr>
          <w:p w14:paraId="369167C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275" w:type="dxa"/>
            <w:shd w:val="clear" w:color="000000" w:fill="538DD5"/>
            <w:noWrap/>
            <w:vAlign w:val="center"/>
            <w:hideMark/>
          </w:tcPr>
          <w:p w14:paraId="03473422"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276" w:type="dxa"/>
            <w:shd w:val="clear" w:color="000000" w:fill="538DD5"/>
            <w:vAlign w:val="center"/>
            <w:hideMark/>
          </w:tcPr>
          <w:p w14:paraId="5DA7B2F9"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851" w:type="dxa"/>
            <w:shd w:val="clear" w:color="000000" w:fill="538DD5"/>
            <w:vAlign w:val="center"/>
            <w:hideMark/>
          </w:tcPr>
          <w:p w14:paraId="0589E443"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44%</w:t>
            </w:r>
          </w:p>
        </w:tc>
        <w:tc>
          <w:tcPr>
            <w:tcW w:w="3827" w:type="dxa"/>
            <w:shd w:val="clear" w:color="000000" w:fill="538DD5"/>
            <w:vAlign w:val="center"/>
            <w:hideMark/>
          </w:tcPr>
          <w:p w14:paraId="160694BE"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1584EB8F"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005FDA6D" w14:textId="77777777" w:rsidTr="004A6248">
        <w:trPr>
          <w:trHeight w:val="20"/>
        </w:trPr>
        <w:tc>
          <w:tcPr>
            <w:tcW w:w="546" w:type="dxa"/>
            <w:shd w:val="clear" w:color="000000" w:fill="538DD5"/>
            <w:vAlign w:val="center"/>
            <w:hideMark/>
          </w:tcPr>
          <w:p w14:paraId="621C9497"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1504" w:type="dxa"/>
            <w:gridSpan w:val="7"/>
            <w:shd w:val="clear" w:color="000000" w:fill="538DD5"/>
            <w:noWrap/>
            <w:vAlign w:val="center"/>
            <w:hideMark/>
          </w:tcPr>
          <w:p w14:paraId="7D7D40B7"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Establecer un marco de referencia de gestión para iniciar y controlar la implementación y la operación de la seguridad de la información dentro de la organización.</w:t>
            </w:r>
          </w:p>
        </w:tc>
        <w:tc>
          <w:tcPr>
            <w:tcW w:w="3827" w:type="dxa"/>
            <w:shd w:val="clear" w:color="000000" w:fill="538DD5"/>
            <w:vAlign w:val="center"/>
            <w:hideMark/>
          </w:tcPr>
          <w:p w14:paraId="4928A0D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36AF5BC1"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0265ECE3" w14:textId="77777777" w:rsidTr="004A6248">
        <w:trPr>
          <w:trHeight w:val="20"/>
        </w:trPr>
        <w:tc>
          <w:tcPr>
            <w:tcW w:w="546" w:type="dxa"/>
            <w:shd w:val="clear" w:color="auto" w:fill="auto"/>
            <w:vAlign w:val="center"/>
            <w:hideMark/>
          </w:tcPr>
          <w:p w14:paraId="784B3CDE"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6.1.1</w:t>
            </w:r>
          </w:p>
        </w:tc>
        <w:tc>
          <w:tcPr>
            <w:tcW w:w="1156" w:type="dxa"/>
            <w:shd w:val="clear" w:color="auto" w:fill="auto"/>
            <w:vAlign w:val="center"/>
            <w:hideMark/>
          </w:tcPr>
          <w:p w14:paraId="796B167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Roles y responsabilidades de Seguridad de la información</w:t>
            </w:r>
          </w:p>
        </w:tc>
        <w:tc>
          <w:tcPr>
            <w:tcW w:w="2551" w:type="dxa"/>
            <w:shd w:val="clear" w:color="auto" w:fill="auto"/>
            <w:vAlign w:val="center"/>
            <w:hideMark/>
          </w:tcPr>
          <w:p w14:paraId="1C49F18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 definir y asignar todas las responsabilidades de la seguridad de la información.</w:t>
            </w:r>
          </w:p>
        </w:tc>
        <w:tc>
          <w:tcPr>
            <w:tcW w:w="826" w:type="dxa"/>
            <w:shd w:val="clear" w:color="000000" w:fill="008000"/>
            <w:vAlign w:val="center"/>
            <w:hideMark/>
          </w:tcPr>
          <w:p w14:paraId="5BC4A715"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224AA9F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 </w:t>
            </w:r>
            <w:r>
              <w:rPr>
                <w:rFonts w:asciiTheme="majorHAnsi" w:eastAsia="Times New Roman" w:hAnsiTheme="majorHAnsi" w:cstheme="majorHAnsi"/>
                <w:color w:val="000000"/>
                <w:sz w:val="16"/>
                <w:szCs w:val="16"/>
                <w:lang w:val="es-CO" w:eastAsia="es-CO"/>
              </w:rPr>
              <w:t>En la Resolución 0186 de 2019</w:t>
            </w:r>
            <w:r w:rsidRPr="00795864">
              <w:rPr>
                <w:rFonts w:asciiTheme="majorHAnsi" w:eastAsia="Times New Roman" w:hAnsiTheme="majorHAnsi" w:cstheme="majorHAnsi"/>
                <w:color w:val="000000"/>
                <w:sz w:val="16"/>
                <w:szCs w:val="16"/>
                <w:lang w:val="es-CO" w:eastAsia="es-CO"/>
              </w:rPr>
              <w:t>, el director general aprueba la actualización de la política de seguridad de la información, la cual incluye: objetivos de la seguridad de la información, alcance, políticas específicas, responsables.</w:t>
            </w:r>
            <w:r w:rsidRPr="00795864">
              <w:rPr>
                <w:rFonts w:asciiTheme="majorHAnsi" w:eastAsia="Times New Roman" w:hAnsiTheme="majorHAnsi" w:cstheme="majorHAnsi"/>
                <w:color w:val="000000"/>
                <w:sz w:val="16"/>
                <w:szCs w:val="16"/>
                <w:lang w:val="es-CO" w:eastAsia="es-CO"/>
              </w:rPr>
              <w:br/>
              <w:t>* El Comité de Gestión y Desempeño cuenta con funciones de seguridad de la información.</w:t>
            </w:r>
            <w:r w:rsidRPr="00795864">
              <w:rPr>
                <w:rFonts w:asciiTheme="majorHAnsi" w:eastAsia="Times New Roman" w:hAnsiTheme="majorHAnsi" w:cstheme="majorHAnsi"/>
                <w:color w:val="000000"/>
                <w:sz w:val="16"/>
                <w:szCs w:val="16"/>
                <w:lang w:val="es-CO" w:eastAsia="es-CO"/>
              </w:rPr>
              <w:br/>
              <w:t>* Actualmente el Oficial de Seguridad de la Información es el jefe de la Oficina de Tecnología de la Información y Comunicaciones</w:t>
            </w:r>
          </w:p>
        </w:tc>
        <w:tc>
          <w:tcPr>
            <w:tcW w:w="1275" w:type="dxa"/>
            <w:shd w:val="clear" w:color="000000" w:fill="92D050"/>
            <w:vAlign w:val="center"/>
            <w:hideMark/>
          </w:tcPr>
          <w:p w14:paraId="2566702C"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SI</w:t>
            </w:r>
          </w:p>
        </w:tc>
        <w:tc>
          <w:tcPr>
            <w:tcW w:w="1276" w:type="dxa"/>
            <w:shd w:val="clear" w:color="000000" w:fill="0070C0"/>
            <w:vAlign w:val="center"/>
            <w:hideMark/>
          </w:tcPr>
          <w:p w14:paraId="65EA17DB"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60A21E86"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10</w:t>
            </w:r>
            <w:r w:rsidRPr="00795864">
              <w:rPr>
                <w:rFonts w:asciiTheme="majorHAnsi" w:eastAsia="Times New Roman" w:hAnsiTheme="majorHAnsi" w:cstheme="majorHAnsi"/>
                <w:color w:val="000000"/>
                <w:sz w:val="16"/>
                <w:szCs w:val="16"/>
                <w:lang w:val="es-CO" w:eastAsia="es-CO"/>
              </w:rPr>
              <w:t>0%</w:t>
            </w:r>
          </w:p>
        </w:tc>
        <w:tc>
          <w:tcPr>
            <w:tcW w:w="3827" w:type="dxa"/>
            <w:shd w:val="clear" w:color="auto" w:fill="auto"/>
            <w:vAlign w:val="center"/>
            <w:hideMark/>
          </w:tcPr>
          <w:p w14:paraId="4679DF1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recomienda definir quién será el responsable de la seguridad de la información, así como los integrantes del comité de seguridad de la información o aquel que desempeñe las funciones y responsabilidades de este.</w:t>
            </w:r>
          </w:p>
        </w:tc>
        <w:tc>
          <w:tcPr>
            <w:tcW w:w="1843" w:type="dxa"/>
          </w:tcPr>
          <w:p w14:paraId="4C7011C1"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Actualmente el Oficial de Seguridad de la Información es el jefe de la Oficina de Tecnología de la Información y Comunicaciones</w:t>
            </w:r>
          </w:p>
        </w:tc>
      </w:tr>
      <w:tr w:rsidR="004A6248" w:rsidRPr="00795864" w14:paraId="050465DB" w14:textId="77777777" w:rsidTr="004A6248">
        <w:trPr>
          <w:trHeight w:val="20"/>
        </w:trPr>
        <w:tc>
          <w:tcPr>
            <w:tcW w:w="546" w:type="dxa"/>
            <w:shd w:val="clear" w:color="auto" w:fill="auto"/>
            <w:vAlign w:val="center"/>
            <w:hideMark/>
          </w:tcPr>
          <w:p w14:paraId="1B3D76CA"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6.1.2</w:t>
            </w:r>
          </w:p>
        </w:tc>
        <w:tc>
          <w:tcPr>
            <w:tcW w:w="1156" w:type="dxa"/>
            <w:shd w:val="clear" w:color="auto" w:fill="auto"/>
            <w:vAlign w:val="center"/>
            <w:hideMark/>
          </w:tcPr>
          <w:p w14:paraId="2002F15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Segregación de funciones</w:t>
            </w:r>
          </w:p>
        </w:tc>
        <w:tc>
          <w:tcPr>
            <w:tcW w:w="2551" w:type="dxa"/>
            <w:shd w:val="clear" w:color="auto" w:fill="auto"/>
            <w:vAlign w:val="center"/>
            <w:hideMark/>
          </w:tcPr>
          <w:p w14:paraId="2BF050F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Las funciones en conflicto y áreas de responsabilidad deben ser separadas para reducir las oportunidades de modificación no autorizada o involuntaria, o el mal uso de los activos de la organización.</w:t>
            </w:r>
          </w:p>
        </w:tc>
        <w:tc>
          <w:tcPr>
            <w:tcW w:w="826" w:type="dxa"/>
            <w:shd w:val="clear" w:color="000000" w:fill="008000"/>
            <w:vAlign w:val="center"/>
            <w:hideMark/>
          </w:tcPr>
          <w:p w14:paraId="3D5E274F"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6016E1E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 nivel de seguridad de la información no se encuentra definidos roles y perfiles que garanticen una adecuada segregación de funciones</w:t>
            </w:r>
          </w:p>
        </w:tc>
        <w:tc>
          <w:tcPr>
            <w:tcW w:w="1275" w:type="dxa"/>
            <w:shd w:val="clear" w:color="000000" w:fill="FF0000"/>
            <w:vAlign w:val="center"/>
            <w:hideMark/>
          </w:tcPr>
          <w:p w14:paraId="68E563CF"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NO</w:t>
            </w:r>
          </w:p>
        </w:tc>
        <w:tc>
          <w:tcPr>
            <w:tcW w:w="1276" w:type="dxa"/>
            <w:shd w:val="clear" w:color="000000" w:fill="FF0000"/>
            <w:vAlign w:val="center"/>
            <w:hideMark/>
          </w:tcPr>
          <w:p w14:paraId="4332F6EF" w14:textId="77777777" w:rsidR="004A6248" w:rsidRPr="000519A9" w:rsidRDefault="004A6248" w:rsidP="000F099B">
            <w:pPr>
              <w:jc w:val="center"/>
              <w:rPr>
                <w:rFonts w:asciiTheme="majorHAnsi" w:eastAsia="Times New Roman" w:hAnsiTheme="majorHAnsi" w:cstheme="majorHAnsi"/>
                <w:sz w:val="16"/>
                <w:szCs w:val="16"/>
                <w:lang w:val="es-CO" w:eastAsia="es-CO"/>
              </w:rPr>
            </w:pPr>
            <w:r w:rsidRPr="000519A9">
              <w:rPr>
                <w:rFonts w:asciiTheme="majorHAnsi" w:eastAsia="Times New Roman" w:hAnsiTheme="majorHAnsi" w:cstheme="majorHAnsi"/>
                <w:sz w:val="16"/>
                <w:szCs w:val="16"/>
                <w:lang w:val="es-CO" w:eastAsia="es-CO"/>
              </w:rPr>
              <w:t>Inexistente</w:t>
            </w:r>
          </w:p>
        </w:tc>
        <w:tc>
          <w:tcPr>
            <w:tcW w:w="851" w:type="dxa"/>
            <w:shd w:val="clear" w:color="auto" w:fill="auto"/>
            <w:vAlign w:val="center"/>
            <w:hideMark/>
          </w:tcPr>
          <w:p w14:paraId="1537F689" w14:textId="77777777" w:rsidR="004A6248" w:rsidRPr="00795864" w:rsidRDefault="000519A9" w:rsidP="000519A9">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40</w:t>
            </w:r>
            <w:r w:rsidR="004A6248" w:rsidRPr="00795864">
              <w:rPr>
                <w:rFonts w:asciiTheme="majorHAnsi" w:eastAsia="Times New Roman" w:hAnsiTheme="majorHAnsi" w:cstheme="majorHAnsi"/>
                <w:color w:val="000000"/>
                <w:sz w:val="16"/>
                <w:szCs w:val="16"/>
                <w:lang w:val="es-CO" w:eastAsia="es-CO"/>
              </w:rPr>
              <w:t>%</w:t>
            </w:r>
          </w:p>
        </w:tc>
        <w:tc>
          <w:tcPr>
            <w:tcW w:w="3827" w:type="dxa"/>
            <w:shd w:val="clear" w:color="auto" w:fill="auto"/>
            <w:vAlign w:val="center"/>
            <w:hideMark/>
          </w:tcPr>
          <w:p w14:paraId="1EF992B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recomienda que el responsable de la seguridad de la información se encuentre aislado de procesos en los que exista conflicto de intereses para el desarrollo de sus funciones.</w:t>
            </w:r>
          </w:p>
        </w:tc>
        <w:tc>
          <w:tcPr>
            <w:tcW w:w="1843" w:type="dxa"/>
          </w:tcPr>
          <w:p w14:paraId="677EC2C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Para ejercer responsabilidad debe estar en otra área</w:t>
            </w:r>
          </w:p>
        </w:tc>
      </w:tr>
      <w:tr w:rsidR="004A6248" w:rsidRPr="00795864" w14:paraId="7B8123F4" w14:textId="77777777" w:rsidTr="004A6248">
        <w:trPr>
          <w:trHeight w:val="20"/>
        </w:trPr>
        <w:tc>
          <w:tcPr>
            <w:tcW w:w="546" w:type="dxa"/>
            <w:shd w:val="clear" w:color="auto" w:fill="auto"/>
            <w:vAlign w:val="center"/>
            <w:hideMark/>
          </w:tcPr>
          <w:p w14:paraId="14C43031"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6.1.3</w:t>
            </w:r>
          </w:p>
        </w:tc>
        <w:tc>
          <w:tcPr>
            <w:tcW w:w="1156" w:type="dxa"/>
            <w:shd w:val="clear" w:color="auto" w:fill="auto"/>
            <w:vAlign w:val="center"/>
            <w:hideMark/>
          </w:tcPr>
          <w:p w14:paraId="4579930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Contacto con las </w:t>
            </w:r>
            <w:r w:rsidRPr="00795864">
              <w:rPr>
                <w:rFonts w:asciiTheme="majorHAnsi" w:eastAsia="Times New Roman" w:hAnsiTheme="majorHAnsi" w:cstheme="majorHAnsi"/>
                <w:color w:val="000000"/>
                <w:sz w:val="16"/>
                <w:szCs w:val="16"/>
                <w:lang w:val="es-CO" w:eastAsia="es-CO"/>
              </w:rPr>
              <w:lastRenderedPageBreak/>
              <w:t>autoridades</w:t>
            </w:r>
          </w:p>
        </w:tc>
        <w:tc>
          <w:tcPr>
            <w:tcW w:w="2551" w:type="dxa"/>
            <w:shd w:val="clear" w:color="auto" w:fill="auto"/>
            <w:vAlign w:val="center"/>
            <w:hideMark/>
          </w:tcPr>
          <w:p w14:paraId="640A5B7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lastRenderedPageBreak/>
              <w:t xml:space="preserve">Se deben mantener contactos apropiados con las autoridades </w:t>
            </w:r>
            <w:r w:rsidRPr="00795864">
              <w:rPr>
                <w:rFonts w:asciiTheme="majorHAnsi" w:eastAsia="Times New Roman" w:hAnsiTheme="majorHAnsi" w:cstheme="majorHAnsi"/>
                <w:color w:val="000000"/>
                <w:sz w:val="16"/>
                <w:szCs w:val="16"/>
                <w:lang w:val="es-CO" w:eastAsia="es-CO"/>
              </w:rPr>
              <w:lastRenderedPageBreak/>
              <w:t>pertinentes.</w:t>
            </w:r>
          </w:p>
        </w:tc>
        <w:tc>
          <w:tcPr>
            <w:tcW w:w="826" w:type="dxa"/>
            <w:shd w:val="clear" w:color="000000" w:fill="008000"/>
            <w:vAlign w:val="center"/>
            <w:hideMark/>
          </w:tcPr>
          <w:p w14:paraId="7C63E1F5"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lastRenderedPageBreak/>
              <w:t>Aplica</w:t>
            </w:r>
          </w:p>
        </w:tc>
        <w:tc>
          <w:tcPr>
            <w:tcW w:w="3569" w:type="dxa"/>
            <w:shd w:val="clear" w:color="auto" w:fill="auto"/>
            <w:vAlign w:val="center"/>
            <w:hideMark/>
          </w:tcPr>
          <w:p w14:paraId="1EE06C44"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Actualmente la Oficina de las Tecnologías de la Información se encuentra inscrita en foros de </w:t>
            </w:r>
            <w:r w:rsidRPr="00795864">
              <w:rPr>
                <w:rFonts w:asciiTheme="majorHAnsi" w:eastAsia="Times New Roman" w:hAnsiTheme="majorHAnsi" w:cstheme="majorHAnsi"/>
                <w:color w:val="000000"/>
                <w:sz w:val="16"/>
                <w:szCs w:val="16"/>
                <w:lang w:val="es-CO" w:eastAsia="es-CO"/>
              </w:rPr>
              <w:lastRenderedPageBreak/>
              <w:t>Ciberseguridad de entidades como MIN Defensa, MINTIC, Policía Nacional y CSIRT.</w:t>
            </w:r>
          </w:p>
        </w:tc>
        <w:tc>
          <w:tcPr>
            <w:tcW w:w="1275" w:type="dxa"/>
            <w:shd w:val="clear" w:color="000000" w:fill="92D050"/>
            <w:vAlign w:val="center"/>
            <w:hideMark/>
          </w:tcPr>
          <w:p w14:paraId="22A634B6"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lastRenderedPageBreak/>
              <w:t>SI</w:t>
            </w:r>
          </w:p>
        </w:tc>
        <w:tc>
          <w:tcPr>
            <w:tcW w:w="1276" w:type="dxa"/>
            <w:shd w:val="clear" w:color="000000" w:fill="00B0F0"/>
            <w:vAlign w:val="center"/>
            <w:hideMark/>
          </w:tcPr>
          <w:p w14:paraId="5D40F2F2"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Definido</w:t>
            </w:r>
          </w:p>
        </w:tc>
        <w:tc>
          <w:tcPr>
            <w:tcW w:w="851" w:type="dxa"/>
            <w:shd w:val="clear" w:color="auto" w:fill="auto"/>
            <w:vAlign w:val="center"/>
            <w:hideMark/>
          </w:tcPr>
          <w:p w14:paraId="1FB51D09"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60%</w:t>
            </w:r>
          </w:p>
        </w:tc>
        <w:tc>
          <w:tcPr>
            <w:tcW w:w="3827" w:type="dxa"/>
            <w:shd w:val="clear" w:color="auto" w:fill="auto"/>
            <w:vAlign w:val="center"/>
            <w:hideMark/>
          </w:tcPr>
          <w:p w14:paraId="0227A41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Se recomienda contar con el asesoramiento de proveedores expertos en seguridad de la información, </w:t>
            </w:r>
            <w:r w:rsidRPr="00795864">
              <w:rPr>
                <w:rFonts w:asciiTheme="majorHAnsi" w:eastAsia="Times New Roman" w:hAnsiTheme="majorHAnsi" w:cstheme="majorHAnsi"/>
                <w:color w:val="000000"/>
                <w:sz w:val="16"/>
                <w:szCs w:val="16"/>
                <w:lang w:val="es-CO" w:eastAsia="es-CO"/>
              </w:rPr>
              <w:lastRenderedPageBreak/>
              <w:t>para que guíen al INS en la aplicación de las mejores prácticas.</w:t>
            </w:r>
          </w:p>
        </w:tc>
        <w:tc>
          <w:tcPr>
            <w:tcW w:w="1843" w:type="dxa"/>
          </w:tcPr>
          <w:p w14:paraId="45CD995B"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27865AC0" w14:textId="77777777" w:rsidTr="004A6248">
        <w:trPr>
          <w:trHeight w:val="20"/>
        </w:trPr>
        <w:tc>
          <w:tcPr>
            <w:tcW w:w="546" w:type="dxa"/>
            <w:shd w:val="clear" w:color="auto" w:fill="auto"/>
            <w:vAlign w:val="center"/>
            <w:hideMark/>
          </w:tcPr>
          <w:p w14:paraId="244D4E10"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6.1.4</w:t>
            </w:r>
          </w:p>
        </w:tc>
        <w:tc>
          <w:tcPr>
            <w:tcW w:w="1156" w:type="dxa"/>
            <w:shd w:val="clear" w:color="auto" w:fill="auto"/>
            <w:vAlign w:val="center"/>
            <w:hideMark/>
          </w:tcPr>
          <w:p w14:paraId="44B8908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Contacto con grupos de interés especial</w:t>
            </w:r>
          </w:p>
        </w:tc>
        <w:tc>
          <w:tcPr>
            <w:tcW w:w="2551" w:type="dxa"/>
            <w:shd w:val="clear" w:color="auto" w:fill="auto"/>
            <w:vAlign w:val="center"/>
            <w:hideMark/>
          </w:tcPr>
          <w:p w14:paraId="778E822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mantener contactos apropiados con grupos de interés especial u otros foros y asociaciones profesionales especializadas en seguridad.</w:t>
            </w:r>
          </w:p>
        </w:tc>
        <w:tc>
          <w:tcPr>
            <w:tcW w:w="826" w:type="dxa"/>
            <w:shd w:val="clear" w:color="000000" w:fill="008000"/>
            <w:vAlign w:val="center"/>
            <w:hideMark/>
          </w:tcPr>
          <w:p w14:paraId="3123376E"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2F125226"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Actualmente la Oficina de las Tecnologías de la Información se encuentra inscrita en foros de Ciberseguridad de entidades como MIN Defensa, MINTIC, Policía Nacional y CSIRT.</w:t>
            </w:r>
          </w:p>
        </w:tc>
        <w:tc>
          <w:tcPr>
            <w:tcW w:w="1275" w:type="dxa"/>
            <w:shd w:val="clear" w:color="000000" w:fill="92D050"/>
            <w:vAlign w:val="center"/>
            <w:hideMark/>
          </w:tcPr>
          <w:p w14:paraId="6CE657D0"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SI</w:t>
            </w:r>
          </w:p>
        </w:tc>
        <w:tc>
          <w:tcPr>
            <w:tcW w:w="1276" w:type="dxa"/>
            <w:shd w:val="clear" w:color="000000" w:fill="00B0F0"/>
            <w:vAlign w:val="center"/>
            <w:hideMark/>
          </w:tcPr>
          <w:p w14:paraId="5BC3C8DD"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Definido</w:t>
            </w:r>
          </w:p>
        </w:tc>
        <w:tc>
          <w:tcPr>
            <w:tcW w:w="851" w:type="dxa"/>
            <w:shd w:val="clear" w:color="auto" w:fill="auto"/>
            <w:vAlign w:val="center"/>
            <w:hideMark/>
          </w:tcPr>
          <w:p w14:paraId="00FD9B55"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60%</w:t>
            </w:r>
          </w:p>
        </w:tc>
        <w:tc>
          <w:tcPr>
            <w:tcW w:w="3827" w:type="dxa"/>
            <w:shd w:val="clear" w:color="auto" w:fill="auto"/>
            <w:vAlign w:val="center"/>
            <w:hideMark/>
          </w:tcPr>
          <w:p w14:paraId="1C3CC594"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recomienda contar con el asesoramiento de proveedores expertos en seguridad de la información, o convenios con entidades expertas en dicho ámbito para que guíen al INS en la aplicación de las mejores prácticas.</w:t>
            </w:r>
          </w:p>
        </w:tc>
        <w:tc>
          <w:tcPr>
            <w:tcW w:w="1843" w:type="dxa"/>
          </w:tcPr>
          <w:p w14:paraId="62746CFF"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58E4456B" w14:textId="77777777" w:rsidTr="004A6248">
        <w:trPr>
          <w:trHeight w:val="20"/>
        </w:trPr>
        <w:tc>
          <w:tcPr>
            <w:tcW w:w="546" w:type="dxa"/>
            <w:shd w:val="clear" w:color="auto" w:fill="auto"/>
            <w:vAlign w:val="center"/>
            <w:hideMark/>
          </w:tcPr>
          <w:p w14:paraId="68544D51"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6.1.5</w:t>
            </w:r>
          </w:p>
        </w:tc>
        <w:tc>
          <w:tcPr>
            <w:tcW w:w="1156" w:type="dxa"/>
            <w:shd w:val="clear" w:color="auto" w:fill="auto"/>
            <w:vAlign w:val="center"/>
            <w:hideMark/>
          </w:tcPr>
          <w:p w14:paraId="052706E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Seguridad de la información en gestión de proyectos</w:t>
            </w:r>
          </w:p>
        </w:tc>
        <w:tc>
          <w:tcPr>
            <w:tcW w:w="2551" w:type="dxa"/>
            <w:shd w:val="clear" w:color="auto" w:fill="auto"/>
            <w:vAlign w:val="center"/>
            <w:hideMark/>
          </w:tcPr>
          <w:p w14:paraId="454083A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 seguridad de la información se debe tratar en la gestión de proyectos, independientemente del tipo de proyecto.</w:t>
            </w:r>
          </w:p>
        </w:tc>
        <w:tc>
          <w:tcPr>
            <w:tcW w:w="826" w:type="dxa"/>
            <w:shd w:val="clear" w:color="000000" w:fill="008000"/>
            <w:vAlign w:val="center"/>
            <w:hideMark/>
          </w:tcPr>
          <w:p w14:paraId="5707EFFE"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668EB7F1"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S</w:t>
            </w:r>
            <w:r w:rsidRPr="00795864">
              <w:rPr>
                <w:rFonts w:asciiTheme="majorHAnsi" w:eastAsia="Times New Roman" w:hAnsiTheme="majorHAnsi" w:cstheme="majorHAnsi"/>
                <w:color w:val="000000"/>
                <w:sz w:val="16"/>
                <w:szCs w:val="16"/>
                <w:lang w:val="es-CO" w:eastAsia="es-CO"/>
              </w:rPr>
              <w:t>e tienen en cuenta aspectos de seguridad de la información en proyectos que se desarrollan en otras áreas diferentes a la OTIC.</w:t>
            </w:r>
          </w:p>
        </w:tc>
        <w:tc>
          <w:tcPr>
            <w:tcW w:w="1275" w:type="dxa"/>
            <w:shd w:val="clear" w:color="000000" w:fill="E26B0A"/>
            <w:vAlign w:val="center"/>
            <w:hideMark/>
          </w:tcPr>
          <w:p w14:paraId="0C337C22"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E26B0A"/>
            <w:vAlign w:val="center"/>
            <w:hideMark/>
          </w:tcPr>
          <w:p w14:paraId="2E2DE730"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Inicial</w:t>
            </w:r>
          </w:p>
        </w:tc>
        <w:tc>
          <w:tcPr>
            <w:tcW w:w="851" w:type="dxa"/>
            <w:shd w:val="clear" w:color="auto" w:fill="auto"/>
            <w:vAlign w:val="center"/>
            <w:hideMark/>
          </w:tcPr>
          <w:p w14:paraId="320AF72D"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4</w:t>
            </w:r>
            <w:r w:rsidRPr="00795864">
              <w:rPr>
                <w:rFonts w:asciiTheme="majorHAnsi" w:eastAsia="Times New Roman" w:hAnsiTheme="majorHAnsi" w:cstheme="majorHAnsi"/>
                <w:color w:val="000000"/>
                <w:sz w:val="16"/>
                <w:szCs w:val="16"/>
                <w:lang w:val="es-CO" w:eastAsia="es-CO"/>
              </w:rPr>
              <w:t>0%</w:t>
            </w:r>
          </w:p>
        </w:tc>
        <w:tc>
          <w:tcPr>
            <w:tcW w:w="3827" w:type="dxa"/>
            <w:shd w:val="clear" w:color="auto" w:fill="auto"/>
            <w:vAlign w:val="center"/>
            <w:hideMark/>
          </w:tcPr>
          <w:p w14:paraId="69B951E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recomienda contar con el asesoramiento de proveedores expertos en seguridad de la información, o convenios con entidades expertas en dicho ámbito para que guíen al INS en la aplicación de las mejores prácticas.</w:t>
            </w:r>
          </w:p>
        </w:tc>
        <w:tc>
          <w:tcPr>
            <w:tcW w:w="1843" w:type="dxa"/>
          </w:tcPr>
          <w:p w14:paraId="05884C50"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3DB4276C" w14:textId="77777777" w:rsidTr="004A6248">
        <w:trPr>
          <w:trHeight w:val="20"/>
        </w:trPr>
        <w:tc>
          <w:tcPr>
            <w:tcW w:w="546" w:type="dxa"/>
            <w:shd w:val="clear" w:color="000000" w:fill="538DD5"/>
            <w:vAlign w:val="center"/>
            <w:hideMark/>
          </w:tcPr>
          <w:p w14:paraId="48480817"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6.2</w:t>
            </w:r>
          </w:p>
        </w:tc>
        <w:tc>
          <w:tcPr>
            <w:tcW w:w="8102" w:type="dxa"/>
            <w:gridSpan w:val="4"/>
            <w:shd w:val="clear" w:color="000000" w:fill="538DD5"/>
            <w:noWrap/>
            <w:vAlign w:val="center"/>
            <w:hideMark/>
          </w:tcPr>
          <w:p w14:paraId="0E6B3B9E"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Dispositivos móviles y teletrabajo</w:t>
            </w:r>
          </w:p>
        </w:tc>
        <w:tc>
          <w:tcPr>
            <w:tcW w:w="1275" w:type="dxa"/>
            <w:shd w:val="clear" w:color="000000" w:fill="538DD5"/>
            <w:noWrap/>
            <w:vAlign w:val="center"/>
            <w:hideMark/>
          </w:tcPr>
          <w:p w14:paraId="42DAC70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276" w:type="dxa"/>
            <w:shd w:val="clear" w:color="000000" w:fill="538DD5"/>
            <w:noWrap/>
            <w:vAlign w:val="center"/>
            <w:hideMark/>
          </w:tcPr>
          <w:p w14:paraId="5E12654E"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851" w:type="dxa"/>
            <w:shd w:val="clear" w:color="000000" w:fill="538DD5"/>
            <w:vAlign w:val="center"/>
            <w:hideMark/>
          </w:tcPr>
          <w:p w14:paraId="02C554A8"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20%</w:t>
            </w:r>
          </w:p>
        </w:tc>
        <w:tc>
          <w:tcPr>
            <w:tcW w:w="3827" w:type="dxa"/>
            <w:shd w:val="clear" w:color="000000" w:fill="538DD5"/>
            <w:vAlign w:val="center"/>
            <w:hideMark/>
          </w:tcPr>
          <w:p w14:paraId="674D530C"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1C77DF09"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56A47BA8" w14:textId="77777777" w:rsidTr="004A6248">
        <w:trPr>
          <w:trHeight w:val="20"/>
        </w:trPr>
        <w:tc>
          <w:tcPr>
            <w:tcW w:w="546" w:type="dxa"/>
            <w:shd w:val="clear" w:color="000000" w:fill="538DD5"/>
            <w:vAlign w:val="center"/>
            <w:hideMark/>
          </w:tcPr>
          <w:p w14:paraId="43593B31"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8102" w:type="dxa"/>
            <w:gridSpan w:val="4"/>
            <w:shd w:val="clear" w:color="000000" w:fill="538DD5"/>
            <w:noWrap/>
            <w:vAlign w:val="center"/>
            <w:hideMark/>
          </w:tcPr>
          <w:p w14:paraId="5140A24A"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Garantizar la seguridad del teletrabajo y el uso de dispositivos móviles.</w:t>
            </w:r>
          </w:p>
        </w:tc>
        <w:tc>
          <w:tcPr>
            <w:tcW w:w="1275" w:type="dxa"/>
            <w:shd w:val="clear" w:color="000000" w:fill="538DD5"/>
            <w:noWrap/>
            <w:vAlign w:val="center"/>
            <w:hideMark/>
          </w:tcPr>
          <w:p w14:paraId="379EC268"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276" w:type="dxa"/>
            <w:shd w:val="clear" w:color="000000" w:fill="538DD5"/>
            <w:noWrap/>
            <w:vAlign w:val="center"/>
            <w:hideMark/>
          </w:tcPr>
          <w:p w14:paraId="6094DB3B"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851" w:type="dxa"/>
            <w:shd w:val="clear" w:color="000000" w:fill="538DD5"/>
            <w:vAlign w:val="center"/>
            <w:hideMark/>
          </w:tcPr>
          <w:p w14:paraId="49AB6344"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3827" w:type="dxa"/>
            <w:shd w:val="clear" w:color="000000" w:fill="538DD5"/>
            <w:vAlign w:val="center"/>
            <w:hideMark/>
          </w:tcPr>
          <w:p w14:paraId="4F0BF2B5"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186ADCC7"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136EF61D" w14:textId="77777777" w:rsidTr="004A6248">
        <w:trPr>
          <w:trHeight w:val="20"/>
        </w:trPr>
        <w:tc>
          <w:tcPr>
            <w:tcW w:w="546" w:type="dxa"/>
            <w:shd w:val="clear" w:color="auto" w:fill="auto"/>
            <w:vAlign w:val="center"/>
            <w:hideMark/>
          </w:tcPr>
          <w:p w14:paraId="7F28D32A"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6.2.1</w:t>
            </w:r>
          </w:p>
        </w:tc>
        <w:tc>
          <w:tcPr>
            <w:tcW w:w="1156" w:type="dxa"/>
            <w:shd w:val="clear" w:color="auto" w:fill="auto"/>
            <w:vAlign w:val="center"/>
            <w:hideMark/>
          </w:tcPr>
          <w:p w14:paraId="5C39EB1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Política para dispositivos móviles</w:t>
            </w:r>
          </w:p>
        </w:tc>
        <w:tc>
          <w:tcPr>
            <w:tcW w:w="2551" w:type="dxa"/>
            <w:shd w:val="clear" w:color="auto" w:fill="auto"/>
            <w:vAlign w:val="center"/>
            <w:hideMark/>
          </w:tcPr>
          <w:p w14:paraId="34FDB74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 adoptar una política y unas medidas de seguridad de soporte, para gestionar los riesgos introducidos por el uso de dispositivos móviles.</w:t>
            </w:r>
          </w:p>
        </w:tc>
        <w:tc>
          <w:tcPr>
            <w:tcW w:w="826" w:type="dxa"/>
            <w:shd w:val="clear" w:color="000000" w:fill="008000"/>
            <w:vAlign w:val="center"/>
            <w:hideMark/>
          </w:tcPr>
          <w:p w14:paraId="046D601D"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730CDDE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cuenta la práctica de verificar que los dispositivos móviles en los que se va a configurar el correo electrónico cuenten con aplicaciones seguras, que en caso de no tener dicha configuración no se configura el servicio de correo.</w:t>
            </w:r>
            <w:r w:rsidRPr="00795864">
              <w:rPr>
                <w:rFonts w:asciiTheme="majorHAnsi" w:eastAsia="Times New Roman" w:hAnsiTheme="majorHAnsi" w:cstheme="majorHAnsi"/>
                <w:color w:val="000000"/>
                <w:sz w:val="16"/>
                <w:szCs w:val="16"/>
                <w:lang w:val="es-CO" w:eastAsia="es-CO"/>
              </w:rPr>
              <w:br/>
            </w:r>
            <w:r w:rsidRPr="00795864">
              <w:rPr>
                <w:rFonts w:asciiTheme="majorHAnsi" w:eastAsia="Times New Roman" w:hAnsiTheme="majorHAnsi" w:cstheme="majorHAnsi"/>
                <w:color w:val="000000"/>
                <w:sz w:val="16"/>
                <w:szCs w:val="16"/>
                <w:lang w:val="es-CO" w:eastAsia="es-CO"/>
              </w:rPr>
              <w:br/>
              <w:t>Los funcionarios pueden llevar dispositivos móviles, y algunos contratistas trabajan en computadores personales.</w:t>
            </w:r>
          </w:p>
        </w:tc>
        <w:tc>
          <w:tcPr>
            <w:tcW w:w="1275" w:type="dxa"/>
            <w:shd w:val="clear" w:color="000000" w:fill="E26B0A"/>
            <w:vAlign w:val="center"/>
            <w:hideMark/>
          </w:tcPr>
          <w:p w14:paraId="4FAA9913"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E26B0A"/>
            <w:vAlign w:val="center"/>
            <w:hideMark/>
          </w:tcPr>
          <w:p w14:paraId="5EBF4EEF"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Inicial</w:t>
            </w:r>
          </w:p>
        </w:tc>
        <w:tc>
          <w:tcPr>
            <w:tcW w:w="851" w:type="dxa"/>
            <w:shd w:val="clear" w:color="auto" w:fill="auto"/>
            <w:vAlign w:val="center"/>
            <w:hideMark/>
          </w:tcPr>
          <w:p w14:paraId="6C440947"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20%</w:t>
            </w:r>
          </w:p>
        </w:tc>
        <w:tc>
          <w:tcPr>
            <w:tcW w:w="3827" w:type="dxa"/>
            <w:shd w:val="clear" w:color="auto" w:fill="auto"/>
            <w:vAlign w:val="center"/>
            <w:hideMark/>
          </w:tcPr>
          <w:p w14:paraId="0924DC9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Definir políticas para dispositivos móviles</w:t>
            </w:r>
          </w:p>
        </w:tc>
        <w:tc>
          <w:tcPr>
            <w:tcW w:w="1843" w:type="dxa"/>
          </w:tcPr>
          <w:p w14:paraId="662E25D9" w14:textId="77777777" w:rsidR="004A6248" w:rsidRPr="00C47E6E" w:rsidRDefault="005B2F43" w:rsidP="000F099B">
            <w:pPr>
              <w:rPr>
                <w:rFonts w:asciiTheme="majorHAnsi" w:eastAsia="Times New Roman" w:hAnsiTheme="majorHAnsi" w:cstheme="majorHAnsi"/>
                <w:color w:val="000000"/>
                <w:sz w:val="16"/>
                <w:szCs w:val="16"/>
                <w:lang w:val="es-MX" w:eastAsia="es-CO"/>
              </w:rPr>
            </w:pPr>
            <w:r>
              <w:rPr>
                <w:rFonts w:asciiTheme="majorHAnsi" w:eastAsia="Times New Roman" w:hAnsiTheme="majorHAnsi" w:cstheme="majorHAnsi"/>
                <w:color w:val="000000"/>
                <w:sz w:val="16"/>
                <w:szCs w:val="16"/>
                <w:lang w:val="es-CO" w:eastAsia="es-CO"/>
              </w:rPr>
              <w:t>DEFINIR</w:t>
            </w:r>
            <w:r w:rsidR="00C47E6E">
              <w:rPr>
                <w:rFonts w:asciiTheme="majorHAnsi" w:eastAsia="Times New Roman" w:hAnsiTheme="majorHAnsi" w:cstheme="majorHAnsi"/>
                <w:color w:val="000000"/>
                <w:sz w:val="16"/>
                <w:szCs w:val="16"/>
                <w:lang w:val="es-CO" w:eastAsia="es-CO"/>
              </w:rPr>
              <w:t xml:space="preserve"> </w:t>
            </w:r>
          </w:p>
        </w:tc>
      </w:tr>
      <w:tr w:rsidR="004A6248" w:rsidRPr="00795864" w14:paraId="5AADF639" w14:textId="77777777" w:rsidTr="004A6248">
        <w:trPr>
          <w:trHeight w:val="3306"/>
        </w:trPr>
        <w:tc>
          <w:tcPr>
            <w:tcW w:w="546" w:type="dxa"/>
            <w:shd w:val="clear" w:color="auto" w:fill="auto"/>
            <w:vAlign w:val="center"/>
            <w:hideMark/>
          </w:tcPr>
          <w:p w14:paraId="22E468D0"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6.2.2</w:t>
            </w:r>
          </w:p>
        </w:tc>
        <w:tc>
          <w:tcPr>
            <w:tcW w:w="1156" w:type="dxa"/>
            <w:shd w:val="clear" w:color="auto" w:fill="auto"/>
            <w:vAlign w:val="center"/>
            <w:hideMark/>
          </w:tcPr>
          <w:p w14:paraId="2F95C8D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Teletrabajo</w:t>
            </w:r>
          </w:p>
        </w:tc>
        <w:tc>
          <w:tcPr>
            <w:tcW w:w="2551" w:type="dxa"/>
            <w:shd w:val="clear" w:color="auto" w:fill="auto"/>
            <w:vAlign w:val="center"/>
            <w:hideMark/>
          </w:tcPr>
          <w:p w14:paraId="204661F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Se debe implementar una política y unas medidas de seguridad de soporte, para proteger la información que es </w:t>
            </w:r>
            <w:proofErr w:type="spellStart"/>
            <w:r w:rsidRPr="00795864">
              <w:rPr>
                <w:rFonts w:asciiTheme="majorHAnsi" w:eastAsia="Times New Roman" w:hAnsiTheme="majorHAnsi" w:cstheme="majorHAnsi"/>
                <w:color w:val="000000"/>
                <w:sz w:val="16"/>
                <w:szCs w:val="16"/>
                <w:lang w:val="es-CO" w:eastAsia="es-CO"/>
              </w:rPr>
              <w:t>accesada</w:t>
            </w:r>
            <w:proofErr w:type="spellEnd"/>
            <w:r w:rsidRPr="00795864">
              <w:rPr>
                <w:rFonts w:asciiTheme="majorHAnsi" w:eastAsia="Times New Roman" w:hAnsiTheme="majorHAnsi" w:cstheme="majorHAnsi"/>
                <w:color w:val="000000"/>
                <w:sz w:val="16"/>
                <w:szCs w:val="16"/>
                <w:lang w:val="es-CO" w:eastAsia="es-CO"/>
              </w:rPr>
              <w:t>, procesada o almacenada en los lugares en los que se realiza teletrabajo.</w:t>
            </w:r>
          </w:p>
        </w:tc>
        <w:tc>
          <w:tcPr>
            <w:tcW w:w="826" w:type="dxa"/>
            <w:shd w:val="clear" w:color="000000" w:fill="008000"/>
            <w:vAlign w:val="center"/>
            <w:hideMark/>
          </w:tcPr>
          <w:p w14:paraId="4729A26A"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23489A3F" w14:textId="77777777" w:rsidR="004A6248"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No se tiene definida una política de teletrabajo.</w:t>
            </w:r>
            <w:r w:rsidRPr="00795864">
              <w:rPr>
                <w:rFonts w:asciiTheme="majorHAnsi" w:eastAsia="Times New Roman" w:hAnsiTheme="majorHAnsi" w:cstheme="majorHAnsi"/>
                <w:color w:val="000000"/>
                <w:sz w:val="16"/>
                <w:szCs w:val="16"/>
                <w:lang w:val="es-CO" w:eastAsia="es-CO"/>
              </w:rPr>
              <w:br/>
              <w:t xml:space="preserve">* Existen </w:t>
            </w:r>
            <w:proofErr w:type="spellStart"/>
            <w:r w:rsidRPr="00795864">
              <w:rPr>
                <w:rFonts w:asciiTheme="majorHAnsi" w:eastAsia="Times New Roman" w:hAnsiTheme="majorHAnsi" w:cstheme="majorHAnsi"/>
                <w:color w:val="000000"/>
                <w:sz w:val="16"/>
                <w:szCs w:val="16"/>
                <w:lang w:val="es-CO" w:eastAsia="es-CO"/>
              </w:rPr>
              <w:t>VPNs</w:t>
            </w:r>
            <w:proofErr w:type="spellEnd"/>
            <w:r w:rsidRPr="00795864">
              <w:rPr>
                <w:rFonts w:asciiTheme="majorHAnsi" w:eastAsia="Times New Roman" w:hAnsiTheme="majorHAnsi" w:cstheme="majorHAnsi"/>
                <w:color w:val="000000"/>
                <w:sz w:val="16"/>
                <w:szCs w:val="16"/>
                <w:lang w:val="es-CO" w:eastAsia="es-CO"/>
              </w:rPr>
              <w:t xml:space="preserve"> para funcionarios de la OTIC para actividades de soporte. Las VPNS se asignan para ingenieros de fábrica y grupo de infraestructura para acceso a servidores, aplicaciones como: </w:t>
            </w:r>
            <w:proofErr w:type="spellStart"/>
            <w:r w:rsidRPr="00795864">
              <w:rPr>
                <w:rFonts w:asciiTheme="majorHAnsi" w:eastAsia="Times New Roman" w:hAnsiTheme="majorHAnsi" w:cstheme="majorHAnsi"/>
                <w:color w:val="000000"/>
                <w:sz w:val="16"/>
                <w:szCs w:val="16"/>
                <w:lang w:val="es-CO" w:eastAsia="es-CO"/>
              </w:rPr>
              <w:t>RedData</w:t>
            </w:r>
            <w:proofErr w:type="spellEnd"/>
            <w:r w:rsidRPr="00795864">
              <w:rPr>
                <w:rFonts w:asciiTheme="majorHAnsi" w:eastAsia="Times New Roman" w:hAnsiTheme="majorHAnsi" w:cstheme="majorHAnsi"/>
                <w:color w:val="000000"/>
                <w:sz w:val="16"/>
                <w:szCs w:val="16"/>
                <w:lang w:val="es-CO" w:eastAsia="es-CO"/>
              </w:rPr>
              <w:t xml:space="preserve">, </w:t>
            </w:r>
            <w:proofErr w:type="spellStart"/>
            <w:r w:rsidRPr="00795864">
              <w:rPr>
                <w:rFonts w:asciiTheme="majorHAnsi" w:eastAsia="Times New Roman" w:hAnsiTheme="majorHAnsi" w:cstheme="majorHAnsi"/>
                <w:color w:val="000000"/>
                <w:sz w:val="16"/>
                <w:szCs w:val="16"/>
                <w:lang w:val="es-CO" w:eastAsia="es-CO"/>
              </w:rPr>
              <w:t>Sihevi</w:t>
            </w:r>
            <w:proofErr w:type="spellEnd"/>
            <w:r w:rsidRPr="00795864">
              <w:rPr>
                <w:rFonts w:asciiTheme="majorHAnsi" w:eastAsia="Times New Roman" w:hAnsiTheme="majorHAnsi" w:cstheme="majorHAnsi"/>
                <w:color w:val="000000"/>
                <w:sz w:val="16"/>
                <w:szCs w:val="16"/>
                <w:lang w:val="es-CO" w:eastAsia="es-CO"/>
              </w:rPr>
              <w:t>, PCC, Sivigila web.</w:t>
            </w:r>
            <w:r w:rsidRPr="00795864">
              <w:rPr>
                <w:rFonts w:asciiTheme="majorHAnsi" w:eastAsia="Times New Roman" w:hAnsiTheme="majorHAnsi" w:cstheme="majorHAnsi"/>
                <w:color w:val="000000"/>
                <w:sz w:val="16"/>
                <w:szCs w:val="16"/>
                <w:lang w:val="es-CO" w:eastAsia="es-CO"/>
              </w:rPr>
              <w:br/>
              <w:t xml:space="preserve">* Se cuenta con instructivo para </w:t>
            </w:r>
            <w:proofErr w:type="spellStart"/>
            <w:r w:rsidRPr="00795864">
              <w:rPr>
                <w:rFonts w:asciiTheme="majorHAnsi" w:eastAsia="Times New Roman" w:hAnsiTheme="majorHAnsi" w:cstheme="majorHAnsi"/>
                <w:color w:val="000000"/>
                <w:sz w:val="16"/>
                <w:szCs w:val="16"/>
                <w:lang w:val="es-CO" w:eastAsia="es-CO"/>
              </w:rPr>
              <w:t>VPNs</w:t>
            </w:r>
            <w:proofErr w:type="spellEnd"/>
            <w:r w:rsidRPr="00795864">
              <w:rPr>
                <w:rFonts w:asciiTheme="majorHAnsi" w:eastAsia="Times New Roman" w:hAnsiTheme="majorHAnsi" w:cstheme="majorHAnsi"/>
                <w:color w:val="000000"/>
                <w:sz w:val="16"/>
                <w:szCs w:val="16"/>
                <w:lang w:val="es-CO" w:eastAsia="es-CO"/>
              </w:rPr>
              <w:br/>
              <w:t xml:space="preserve">* Las </w:t>
            </w:r>
            <w:proofErr w:type="spellStart"/>
            <w:r w:rsidRPr="00795864">
              <w:rPr>
                <w:rFonts w:asciiTheme="majorHAnsi" w:eastAsia="Times New Roman" w:hAnsiTheme="majorHAnsi" w:cstheme="majorHAnsi"/>
                <w:color w:val="000000"/>
                <w:sz w:val="16"/>
                <w:szCs w:val="16"/>
                <w:lang w:val="es-CO" w:eastAsia="es-CO"/>
              </w:rPr>
              <w:t>VPNs</w:t>
            </w:r>
            <w:proofErr w:type="spellEnd"/>
            <w:r w:rsidRPr="00795864">
              <w:rPr>
                <w:rFonts w:asciiTheme="majorHAnsi" w:eastAsia="Times New Roman" w:hAnsiTheme="majorHAnsi" w:cstheme="majorHAnsi"/>
                <w:color w:val="000000"/>
                <w:sz w:val="16"/>
                <w:szCs w:val="16"/>
                <w:lang w:val="es-CO" w:eastAsia="es-CO"/>
              </w:rPr>
              <w:t xml:space="preserve"> son autorizadas por la OTIC, utilizan credenciales del directorio activo.</w:t>
            </w:r>
            <w:r w:rsidRPr="00795864">
              <w:rPr>
                <w:rFonts w:asciiTheme="majorHAnsi" w:eastAsia="Times New Roman" w:hAnsiTheme="majorHAnsi" w:cstheme="majorHAnsi"/>
                <w:color w:val="000000"/>
                <w:sz w:val="16"/>
                <w:szCs w:val="16"/>
                <w:lang w:val="es-CO" w:eastAsia="es-CO"/>
              </w:rPr>
              <w:br/>
              <w:t>* Se tiene usuario de TeamViewer en la Dirección de vigilancia, el cual se utiliza para dar soporte a usuario final del aplicativo SIVIGILA en departamentos y municipios.</w:t>
            </w:r>
            <w:r w:rsidRPr="00795864">
              <w:rPr>
                <w:rFonts w:asciiTheme="majorHAnsi" w:eastAsia="Times New Roman" w:hAnsiTheme="majorHAnsi" w:cstheme="majorHAnsi"/>
                <w:color w:val="000000"/>
                <w:sz w:val="16"/>
                <w:szCs w:val="16"/>
                <w:lang w:val="es-CO" w:eastAsia="es-CO"/>
              </w:rPr>
              <w:br/>
              <w:t>* Se cuenta con 200 licencias de Office 365, para Altos directivos y gerencias medias.</w:t>
            </w:r>
          </w:p>
          <w:p w14:paraId="33521F48" w14:textId="77777777" w:rsidR="004A6248" w:rsidRDefault="004A6248" w:rsidP="000F099B">
            <w:pPr>
              <w:pStyle w:val="Sinespaciado"/>
              <w:rPr>
                <w:lang w:val="es-CO" w:eastAsia="es-CO"/>
              </w:rPr>
            </w:pPr>
          </w:p>
          <w:p w14:paraId="7086D011" w14:textId="77777777" w:rsidR="004A6248" w:rsidRDefault="004A6248" w:rsidP="000F099B">
            <w:pPr>
              <w:pStyle w:val="Sinespaciado"/>
              <w:rPr>
                <w:lang w:val="es-CO" w:eastAsia="es-CO"/>
              </w:rPr>
            </w:pPr>
          </w:p>
          <w:p w14:paraId="7EE8FDE1" w14:textId="77777777" w:rsidR="004A6248" w:rsidRPr="00E305B4" w:rsidRDefault="004A6248" w:rsidP="000F099B">
            <w:pPr>
              <w:pStyle w:val="Sinespaciado"/>
              <w:rPr>
                <w:lang w:val="es-CO" w:eastAsia="es-CO"/>
              </w:rPr>
            </w:pPr>
          </w:p>
        </w:tc>
        <w:tc>
          <w:tcPr>
            <w:tcW w:w="1275" w:type="dxa"/>
            <w:shd w:val="clear" w:color="000000" w:fill="E26B0A"/>
            <w:vAlign w:val="center"/>
            <w:hideMark/>
          </w:tcPr>
          <w:p w14:paraId="4B609B8C"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E26B0A"/>
            <w:vAlign w:val="center"/>
            <w:hideMark/>
          </w:tcPr>
          <w:p w14:paraId="543C189C"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Inicial</w:t>
            </w:r>
          </w:p>
        </w:tc>
        <w:tc>
          <w:tcPr>
            <w:tcW w:w="851" w:type="dxa"/>
            <w:shd w:val="clear" w:color="auto" w:fill="auto"/>
            <w:vAlign w:val="center"/>
            <w:hideMark/>
          </w:tcPr>
          <w:p w14:paraId="2088EED7"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20%</w:t>
            </w:r>
          </w:p>
        </w:tc>
        <w:tc>
          <w:tcPr>
            <w:tcW w:w="3827" w:type="dxa"/>
            <w:shd w:val="clear" w:color="auto" w:fill="auto"/>
            <w:vAlign w:val="center"/>
            <w:hideMark/>
          </w:tcPr>
          <w:p w14:paraId="403F839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Validar si es necesario implementar una estrategia de teletrabajo y definir las políticas en este sentido.</w:t>
            </w:r>
          </w:p>
        </w:tc>
        <w:tc>
          <w:tcPr>
            <w:tcW w:w="1843" w:type="dxa"/>
          </w:tcPr>
          <w:p w14:paraId="5FA86816" w14:textId="77777777" w:rsidR="004A6248" w:rsidRPr="00795864" w:rsidRDefault="005B2F43" w:rsidP="000F099B">
            <w:pPr>
              <w:rPr>
                <w:rFonts w:asciiTheme="majorHAnsi" w:eastAsia="Times New Roman" w:hAnsiTheme="majorHAnsi" w:cstheme="majorHAnsi"/>
                <w:color w:val="000000"/>
                <w:sz w:val="16"/>
                <w:szCs w:val="16"/>
                <w:lang w:val="es-CO" w:eastAsia="es-CO"/>
              </w:rPr>
            </w:pPr>
            <w:r>
              <w:rPr>
                <w:rFonts w:asciiTheme="majorHAnsi" w:eastAsia="Times New Roman" w:hAnsiTheme="majorHAnsi" w:cstheme="majorHAnsi"/>
                <w:color w:val="000000"/>
                <w:sz w:val="16"/>
                <w:szCs w:val="16"/>
                <w:lang w:val="es-CO" w:eastAsia="es-CO"/>
              </w:rPr>
              <w:t>VALIDAR</w:t>
            </w:r>
            <w:r w:rsidR="00C47E6E">
              <w:rPr>
                <w:rFonts w:asciiTheme="majorHAnsi" w:eastAsia="Times New Roman" w:hAnsiTheme="majorHAnsi" w:cstheme="majorHAnsi"/>
                <w:color w:val="000000"/>
                <w:sz w:val="16"/>
                <w:szCs w:val="16"/>
                <w:lang w:val="es-CO" w:eastAsia="es-CO"/>
              </w:rPr>
              <w:t xml:space="preserve"> 0++</w:t>
            </w:r>
          </w:p>
        </w:tc>
      </w:tr>
      <w:tr w:rsidR="004A6248" w:rsidRPr="00795864" w14:paraId="5C1CA8C1" w14:textId="77777777" w:rsidTr="004A6248">
        <w:trPr>
          <w:trHeight w:val="20"/>
        </w:trPr>
        <w:tc>
          <w:tcPr>
            <w:tcW w:w="546" w:type="dxa"/>
            <w:shd w:val="clear" w:color="000000" w:fill="1F497D"/>
            <w:vAlign w:val="center"/>
            <w:hideMark/>
          </w:tcPr>
          <w:p w14:paraId="5ECBC791"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lastRenderedPageBreak/>
              <w:t>7</w:t>
            </w:r>
          </w:p>
        </w:tc>
        <w:tc>
          <w:tcPr>
            <w:tcW w:w="8102" w:type="dxa"/>
            <w:gridSpan w:val="4"/>
            <w:shd w:val="clear" w:color="000000" w:fill="1F497D"/>
            <w:noWrap/>
            <w:vAlign w:val="center"/>
            <w:hideMark/>
          </w:tcPr>
          <w:p w14:paraId="4AB3DDDE"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SEGURIDAD DE LOS RECURSOS HUMANOS</w:t>
            </w:r>
          </w:p>
        </w:tc>
        <w:tc>
          <w:tcPr>
            <w:tcW w:w="1275" w:type="dxa"/>
            <w:shd w:val="clear" w:color="000000" w:fill="1F497D"/>
            <w:noWrap/>
            <w:vAlign w:val="center"/>
            <w:hideMark/>
          </w:tcPr>
          <w:p w14:paraId="71535F7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276" w:type="dxa"/>
            <w:shd w:val="clear" w:color="000000" w:fill="1F497D"/>
            <w:noWrap/>
            <w:vAlign w:val="center"/>
            <w:hideMark/>
          </w:tcPr>
          <w:p w14:paraId="268265E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w:t>
            </w:r>
          </w:p>
        </w:tc>
        <w:tc>
          <w:tcPr>
            <w:tcW w:w="851" w:type="dxa"/>
            <w:shd w:val="clear" w:color="000000" w:fill="1F497D"/>
            <w:vAlign w:val="center"/>
            <w:hideMark/>
          </w:tcPr>
          <w:p w14:paraId="738CD4CA"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56%</w:t>
            </w:r>
          </w:p>
        </w:tc>
        <w:tc>
          <w:tcPr>
            <w:tcW w:w="3827" w:type="dxa"/>
            <w:shd w:val="clear" w:color="000000" w:fill="1F497D"/>
            <w:vAlign w:val="center"/>
            <w:hideMark/>
          </w:tcPr>
          <w:p w14:paraId="7CCC4336"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1F497D"/>
          </w:tcPr>
          <w:p w14:paraId="433B7C4F"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3D5ECC97" w14:textId="77777777" w:rsidTr="004A6248">
        <w:trPr>
          <w:trHeight w:val="20"/>
        </w:trPr>
        <w:tc>
          <w:tcPr>
            <w:tcW w:w="546" w:type="dxa"/>
            <w:shd w:val="clear" w:color="000000" w:fill="538DD5"/>
            <w:vAlign w:val="center"/>
            <w:hideMark/>
          </w:tcPr>
          <w:p w14:paraId="5282EDF2"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7.1</w:t>
            </w:r>
          </w:p>
        </w:tc>
        <w:tc>
          <w:tcPr>
            <w:tcW w:w="8102" w:type="dxa"/>
            <w:gridSpan w:val="4"/>
            <w:shd w:val="clear" w:color="000000" w:fill="538DD5"/>
            <w:noWrap/>
            <w:vAlign w:val="center"/>
            <w:hideMark/>
          </w:tcPr>
          <w:p w14:paraId="03EF441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Antes de asumir el empleo</w:t>
            </w:r>
          </w:p>
        </w:tc>
        <w:tc>
          <w:tcPr>
            <w:tcW w:w="1275" w:type="dxa"/>
            <w:shd w:val="clear" w:color="000000" w:fill="538DD5"/>
            <w:noWrap/>
            <w:vAlign w:val="center"/>
            <w:hideMark/>
          </w:tcPr>
          <w:p w14:paraId="0D1404C5"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276" w:type="dxa"/>
            <w:shd w:val="clear" w:color="000000" w:fill="538DD5"/>
            <w:noWrap/>
            <w:vAlign w:val="center"/>
            <w:hideMark/>
          </w:tcPr>
          <w:p w14:paraId="5407A7F2"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851" w:type="dxa"/>
            <w:shd w:val="clear" w:color="000000" w:fill="538DD5"/>
            <w:vAlign w:val="center"/>
            <w:hideMark/>
          </w:tcPr>
          <w:p w14:paraId="44C2D976"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80%</w:t>
            </w:r>
          </w:p>
        </w:tc>
        <w:tc>
          <w:tcPr>
            <w:tcW w:w="3827" w:type="dxa"/>
            <w:shd w:val="clear" w:color="000000" w:fill="538DD5"/>
            <w:vAlign w:val="center"/>
            <w:hideMark/>
          </w:tcPr>
          <w:p w14:paraId="021D68F3"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3D4FE707"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5E4BCCC8" w14:textId="77777777" w:rsidTr="004A6248">
        <w:trPr>
          <w:trHeight w:val="20"/>
        </w:trPr>
        <w:tc>
          <w:tcPr>
            <w:tcW w:w="546" w:type="dxa"/>
            <w:shd w:val="clear" w:color="000000" w:fill="538DD5"/>
            <w:vAlign w:val="center"/>
            <w:hideMark/>
          </w:tcPr>
          <w:p w14:paraId="78DB8D8D"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9377" w:type="dxa"/>
            <w:gridSpan w:val="5"/>
            <w:shd w:val="clear" w:color="000000" w:fill="538DD5"/>
            <w:noWrap/>
            <w:vAlign w:val="center"/>
            <w:hideMark/>
          </w:tcPr>
          <w:p w14:paraId="19D24C1E"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Asegurar que los empleados y contratistas comprenden sus responsabilidades y son idóneos en los roles para los que se consideran.</w:t>
            </w:r>
          </w:p>
        </w:tc>
        <w:tc>
          <w:tcPr>
            <w:tcW w:w="1276" w:type="dxa"/>
            <w:shd w:val="clear" w:color="000000" w:fill="538DD5"/>
            <w:noWrap/>
            <w:vAlign w:val="center"/>
            <w:hideMark/>
          </w:tcPr>
          <w:p w14:paraId="33BED1F9"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851" w:type="dxa"/>
            <w:shd w:val="clear" w:color="000000" w:fill="538DD5"/>
            <w:vAlign w:val="center"/>
            <w:hideMark/>
          </w:tcPr>
          <w:p w14:paraId="3A8A0457"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3827" w:type="dxa"/>
            <w:shd w:val="clear" w:color="000000" w:fill="538DD5"/>
            <w:vAlign w:val="center"/>
            <w:hideMark/>
          </w:tcPr>
          <w:p w14:paraId="5BD55100"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21914D36"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077122FF" w14:textId="77777777" w:rsidTr="004A6248">
        <w:trPr>
          <w:trHeight w:val="20"/>
        </w:trPr>
        <w:tc>
          <w:tcPr>
            <w:tcW w:w="546" w:type="dxa"/>
            <w:shd w:val="clear" w:color="auto" w:fill="auto"/>
            <w:vAlign w:val="center"/>
            <w:hideMark/>
          </w:tcPr>
          <w:p w14:paraId="1CFC0F64"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7.1.1</w:t>
            </w:r>
          </w:p>
        </w:tc>
        <w:tc>
          <w:tcPr>
            <w:tcW w:w="1156" w:type="dxa"/>
            <w:shd w:val="clear" w:color="auto" w:fill="auto"/>
            <w:vAlign w:val="center"/>
            <w:hideMark/>
          </w:tcPr>
          <w:p w14:paraId="0CE7370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Selección</w:t>
            </w:r>
          </w:p>
        </w:tc>
        <w:tc>
          <w:tcPr>
            <w:tcW w:w="2551" w:type="dxa"/>
            <w:shd w:val="clear" w:color="auto" w:fill="auto"/>
            <w:vAlign w:val="center"/>
            <w:hideMark/>
          </w:tcPr>
          <w:p w14:paraId="1D37279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Las verificaciones de los antecedentes de todos los candidatos a un empleo se deben llevar a cabo de acuerdo con las leyes, reglamentos y ética pertinentes, y deben ser proporcionales a los requisitos de negocio, a la clasificación de la información a que se va a tener acceso, y a los riesgos percibidos.</w:t>
            </w:r>
          </w:p>
        </w:tc>
        <w:tc>
          <w:tcPr>
            <w:tcW w:w="826" w:type="dxa"/>
            <w:shd w:val="clear" w:color="000000" w:fill="008000"/>
            <w:vAlign w:val="center"/>
            <w:hideMark/>
          </w:tcPr>
          <w:p w14:paraId="67F6A518"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7C28705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Se cuenta con un procedimiento de vinculación de personal.</w:t>
            </w:r>
            <w:r w:rsidRPr="00795864">
              <w:rPr>
                <w:rFonts w:asciiTheme="majorHAnsi" w:eastAsia="Times New Roman" w:hAnsiTheme="majorHAnsi" w:cstheme="majorHAnsi"/>
                <w:color w:val="000000"/>
                <w:sz w:val="16"/>
                <w:szCs w:val="16"/>
                <w:lang w:val="es-CO" w:eastAsia="es-CO"/>
              </w:rPr>
              <w:br/>
              <w:t>* Se verifica los antecedentes mínimos exigidos por ley y según la ley de anti tramites como: antecedentes de fiscalía, de contraloría, de policía, y de procuraduría.</w:t>
            </w:r>
            <w:r w:rsidRPr="00795864">
              <w:rPr>
                <w:rFonts w:asciiTheme="majorHAnsi" w:eastAsia="Times New Roman" w:hAnsiTheme="majorHAnsi" w:cstheme="majorHAnsi"/>
                <w:color w:val="000000"/>
                <w:sz w:val="16"/>
                <w:szCs w:val="16"/>
                <w:lang w:val="es-CO" w:eastAsia="es-CO"/>
              </w:rPr>
              <w:br/>
              <w:t>* Adicionalmente se pide otra información como: Certificación bancaria, certificado de afiliación de pensiones, y de EPS</w:t>
            </w:r>
            <w:r w:rsidRPr="00795864">
              <w:rPr>
                <w:rFonts w:asciiTheme="majorHAnsi" w:eastAsia="Times New Roman" w:hAnsiTheme="majorHAnsi" w:cstheme="majorHAnsi"/>
                <w:color w:val="000000"/>
                <w:sz w:val="16"/>
                <w:szCs w:val="16"/>
                <w:lang w:val="es-CO" w:eastAsia="es-CO"/>
              </w:rPr>
              <w:br/>
              <w:t>* Si el cargo es directivo se envía a la directora</w:t>
            </w:r>
            <w:r w:rsidRPr="00795864">
              <w:rPr>
                <w:rFonts w:asciiTheme="majorHAnsi" w:eastAsia="Times New Roman" w:hAnsiTheme="majorHAnsi" w:cstheme="majorHAnsi"/>
                <w:color w:val="000000"/>
                <w:sz w:val="16"/>
                <w:szCs w:val="16"/>
                <w:lang w:val="es-CO" w:eastAsia="es-CO"/>
              </w:rPr>
              <w:br/>
              <w:t>* Cada dirección selecciona a la persona por meritocracia / concurso. Solo se revisa experiencia y capacitación.</w:t>
            </w:r>
          </w:p>
        </w:tc>
        <w:tc>
          <w:tcPr>
            <w:tcW w:w="1275" w:type="dxa"/>
            <w:shd w:val="clear" w:color="000000" w:fill="92D050"/>
            <w:vAlign w:val="center"/>
            <w:hideMark/>
          </w:tcPr>
          <w:p w14:paraId="366BC082"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SI</w:t>
            </w:r>
          </w:p>
        </w:tc>
        <w:tc>
          <w:tcPr>
            <w:tcW w:w="1276" w:type="dxa"/>
            <w:shd w:val="clear" w:color="000000" w:fill="0070C0"/>
            <w:vAlign w:val="center"/>
            <w:hideMark/>
          </w:tcPr>
          <w:p w14:paraId="5EC50687"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479857F0"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3A72656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recomienda verificar los antecedentes de todos los candidatos a un cargo, de acuerdo con las leyes, reglamentaciones y ética pertinentes, y deben ser proporcionales a los requisitos de negocio, a la clasificación de la información a que se va a tener acceso, y a los riesgos percibidos.</w:t>
            </w:r>
          </w:p>
        </w:tc>
        <w:tc>
          <w:tcPr>
            <w:tcW w:w="1843" w:type="dxa"/>
          </w:tcPr>
          <w:p w14:paraId="51AA2598"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6A10E638" w14:textId="77777777" w:rsidTr="004A6248">
        <w:trPr>
          <w:trHeight w:val="20"/>
        </w:trPr>
        <w:tc>
          <w:tcPr>
            <w:tcW w:w="546" w:type="dxa"/>
            <w:shd w:val="clear" w:color="auto" w:fill="auto"/>
            <w:vAlign w:val="center"/>
            <w:hideMark/>
          </w:tcPr>
          <w:p w14:paraId="1A583DE5"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7.1.2</w:t>
            </w:r>
          </w:p>
        </w:tc>
        <w:tc>
          <w:tcPr>
            <w:tcW w:w="1156" w:type="dxa"/>
            <w:shd w:val="clear" w:color="auto" w:fill="auto"/>
            <w:vAlign w:val="center"/>
            <w:hideMark/>
          </w:tcPr>
          <w:p w14:paraId="464B48F1"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Términos y condiciones del empleo</w:t>
            </w:r>
          </w:p>
        </w:tc>
        <w:tc>
          <w:tcPr>
            <w:tcW w:w="2551" w:type="dxa"/>
            <w:shd w:val="clear" w:color="auto" w:fill="auto"/>
            <w:vAlign w:val="center"/>
            <w:hideMark/>
          </w:tcPr>
          <w:p w14:paraId="513A1BB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acuerdos contractuales con empleados y contratistas deben establecer sus responsabilidades y las de la organización en cuanto a seguridad de la información.</w:t>
            </w:r>
          </w:p>
        </w:tc>
        <w:tc>
          <w:tcPr>
            <w:tcW w:w="826" w:type="dxa"/>
            <w:shd w:val="clear" w:color="000000" w:fill="008000"/>
            <w:vAlign w:val="center"/>
            <w:hideMark/>
          </w:tcPr>
          <w:p w14:paraId="3D463756"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49C5C1B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Se tienen cláusulas de confidencialidad tanto para funcionarios como para contratistas. Algunos cargos específicos tienen acuerdos especiales de manejo de información.</w:t>
            </w:r>
            <w:r w:rsidRPr="00795864">
              <w:rPr>
                <w:rFonts w:asciiTheme="majorHAnsi" w:eastAsia="Times New Roman" w:hAnsiTheme="majorHAnsi" w:cstheme="majorHAnsi"/>
                <w:color w:val="000000"/>
                <w:sz w:val="16"/>
                <w:szCs w:val="16"/>
                <w:lang w:val="es-CO" w:eastAsia="es-CO"/>
              </w:rPr>
              <w:br/>
              <w:t>* Los ingenieros de desarrollo tienen clausulas especiales en el manejo de desarrollo de software, cláusula de propiedad intelectual, regulaciones legales.</w:t>
            </w:r>
          </w:p>
        </w:tc>
        <w:tc>
          <w:tcPr>
            <w:tcW w:w="1275" w:type="dxa"/>
            <w:shd w:val="clear" w:color="000000" w:fill="92D050"/>
            <w:vAlign w:val="center"/>
            <w:hideMark/>
          </w:tcPr>
          <w:p w14:paraId="42A69E9E"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SI</w:t>
            </w:r>
          </w:p>
        </w:tc>
        <w:tc>
          <w:tcPr>
            <w:tcW w:w="1276" w:type="dxa"/>
            <w:shd w:val="clear" w:color="000000" w:fill="0070C0"/>
            <w:vAlign w:val="center"/>
            <w:hideMark/>
          </w:tcPr>
          <w:p w14:paraId="0D1FF243"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1D9DA62B"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43FC9171"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Revisar los acuerdos contractuales con empleados y contratistas, así como sus responsabilidades en cuanto a seguridad de la información.</w:t>
            </w:r>
          </w:p>
        </w:tc>
        <w:tc>
          <w:tcPr>
            <w:tcW w:w="1843" w:type="dxa"/>
          </w:tcPr>
          <w:p w14:paraId="4B648360"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2123E1F3" w14:textId="77777777" w:rsidTr="004A6248">
        <w:trPr>
          <w:trHeight w:val="20"/>
        </w:trPr>
        <w:tc>
          <w:tcPr>
            <w:tcW w:w="546" w:type="dxa"/>
            <w:shd w:val="clear" w:color="000000" w:fill="538DD5"/>
            <w:vAlign w:val="center"/>
            <w:hideMark/>
          </w:tcPr>
          <w:p w14:paraId="255CE536"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7.2</w:t>
            </w:r>
          </w:p>
        </w:tc>
        <w:tc>
          <w:tcPr>
            <w:tcW w:w="8102" w:type="dxa"/>
            <w:gridSpan w:val="4"/>
            <w:shd w:val="clear" w:color="000000" w:fill="538DD5"/>
            <w:noWrap/>
            <w:vAlign w:val="center"/>
            <w:hideMark/>
          </w:tcPr>
          <w:p w14:paraId="77D20D8C"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Durante la ejecución del empleo</w:t>
            </w:r>
          </w:p>
        </w:tc>
        <w:tc>
          <w:tcPr>
            <w:tcW w:w="1275" w:type="dxa"/>
            <w:shd w:val="clear" w:color="000000" w:fill="538DD5"/>
            <w:noWrap/>
            <w:vAlign w:val="center"/>
            <w:hideMark/>
          </w:tcPr>
          <w:p w14:paraId="505EB842"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276" w:type="dxa"/>
            <w:shd w:val="clear" w:color="000000" w:fill="538DD5"/>
            <w:noWrap/>
            <w:vAlign w:val="center"/>
            <w:hideMark/>
          </w:tcPr>
          <w:p w14:paraId="5CCF9451"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851" w:type="dxa"/>
            <w:shd w:val="clear" w:color="000000" w:fill="538DD5"/>
            <w:vAlign w:val="center"/>
            <w:hideMark/>
          </w:tcPr>
          <w:p w14:paraId="2279C730"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27%</w:t>
            </w:r>
          </w:p>
        </w:tc>
        <w:tc>
          <w:tcPr>
            <w:tcW w:w="3827" w:type="dxa"/>
            <w:shd w:val="clear" w:color="000000" w:fill="538DD5"/>
            <w:vAlign w:val="center"/>
            <w:hideMark/>
          </w:tcPr>
          <w:p w14:paraId="34DB3529"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58932CA0"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475E7CB7" w14:textId="77777777" w:rsidTr="004A6248">
        <w:trPr>
          <w:trHeight w:val="20"/>
        </w:trPr>
        <w:tc>
          <w:tcPr>
            <w:tcW w:w="546" w:type="dxa"/>
            <w:shd w:val="clear" w:color="000000" w:fill="538DD5"/>
            <w:vAlign w:val="center"/>
            <w:hideMark/>
          </w:tcPr>
          <w:p w14:paraId="789FE95C"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noWrap/>
            <w:vAlign w:val="center"/>
            <w:hideMark/>
          </w:tcPr>
          <w:p w14:paraId="29C87691"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Asegurarse de que los empleados y contratistas tomen conciencia de sus responsabilidades de seguridad de la información y las cumplan.</w:t>
            </w:r>
          </w:p>
        </w:tc>
        <w:tc>
          <w:tcPr>
            <w:tcW w:w="851" w:type="dxa"/>
            <w:shd w:val="clear" w:color="000000" w:fill="538DD5"/>
            <w:vAlign w:val="center"/>
            <w:hideMark/>
          </w:tcPr>
          <w:p w14:paraId="0A79742B"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3827" w:type="dxa"/>
            <w:shd w:val="clear" w:color="000000" w:fill="538DD5"/>
            <w:vAlign w:val="center"/>
            <w:hideMark/>
          </w:tcPr>
          <w:p w14:paraId="706A40C7"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3744041C"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17EACCB8" w14:textId="77777777" w:rsidTr="004A6248">
        <w:trPr>
          <w:trHeight w:val="20"/>
        </w:trPr>
        <w:tc>
          <w:tcPr>
            <w:tcW w:w="546" w:type="dxa"/>
            <w:shd w:val="clear" w:color="auto" w:fill="auto"/>
            <w:vAlign w:val="center"/>
            <w:hideMark/>
          </w:tcPr>
          <w:p w14:paraId="0EE34A75"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7.2.1</w:t>
            </w:r>
          </w:p>
        </w:tc>
        <w:tc>
          <w:tcPr>
            <w:tcW w:w="1156" w:type="dxa"/>
            <w:shd w:val="clear" w:color="auto" w:fill="auto"/>
            <w:vAlign w:val="center"/>
            <w:hideMark/>
          </w:tcPr>
          <w:p w14:paraId="40AC130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Responsabilidades de la dirección</w:t>
            </w:r>
          </w:p>
        </w:tc>
        <w:tc>
          <w:tcPr>
            <w:tcW w:w="2551" w:type="dxa"/>
            <w:shd w:val="clear" w:color="auto" w:fill="auto"/>
            <w:vAlign w:val="center"/>
            <w:hideMark/>
          </w:tcPr>
          <w:p w14:paraId="24634ABD"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 dirección debe exigir a todos los empleados y contratistas la aplicación de la seguridad de la información de acuerdo con las políticas y procedimientos establecidos de la organización.</w:t>
            </w:r>
          </w:p>
        </w:tc>
        <w:tc>
          <w:tcPr>
            <w:tcW w:w="826" w:type="dxa"/>
            <w:shd w:val="clear" w:color="000000" w:fill="008000"/>
            <w:vAlign w:val="center"/>
            <w:hideMark/>
          </w:tcPr>
          <w:p w14:paraId="103701EA"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29512BE6"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Talento Humano entrega las funciones que debe desempeñar el funcionario nuevo, mediante oficio y realiza una inducción institucional.</w:t>
            </w:r>
            <w:r w:rsidRPr="00795864">
              <w:rPr>
                <w:rFonts w:asciiTheme="majorHAnsi" w:eastAsia="Times New Roman" w:hAnsiTheme="majorHAnsi" w:cstheme="majorHAnsi"/>
                <w:color w:val="000000"/>
                <w:sz w:val="16"/>
                <w:szCs w:val="16"/>
                <w:lang w:val="es-CO" w:eastAsia="es-CO"/>
              </w:rPr>
              <w:br/>
              <w:t>* Adicionalmente en el puesto de trabajo se hace una nueva inducción por el jefe directo.</w:t>
            </w:r>
            <w:r w:rsidRPr="00795864">
              <w:rPr>
                <w:rFonts w:asciiTheme="majorHAnsi" w:eastAsia="Times New Roman" w:hAnsiTheme="majorHAnsi" w:cstheme="majorHAnsi"/>
                <w:color w:val="000000"/>
                <w:sz w:val="16"/>
                <w:szCs w:val="16"/>
                <w:lang w:val="es-CO" w:eastAsia="es-CO"/>
              </w:rPr>
              <w:br/>
              <w:t>* Se hace un proceso de reinducción cada dos años.</w:t>
            </w:r>
            <w:r w:rsidRPr="00795864">
              <w:rPr>
                <w:rFonts w:asciiTheme="majorHAnsi" w:eastAsia="Times New Roman" w:hAnsiTheme="majorHAnsi" w:cstheme="majorHAnsi"/>
                <w:color w:val="000000"/>
                <w:sz w:val="16"/>
                <w:szCs w:val="16"/>
                <w:lang w:val="es-CO" w:eastAsia="es-CO"/>
              </w:rPr>
              <w:br/>
              <w:t>* No se hace inducción en temas referentes a la seguridad de la información.</w:t>
            </w:r>
          </w:p>
        </w:tc>
        <w:tc>
          <w:tcPr>
            <w:tcW w:w="1275" w:type="dxa"/>
            <w:shd w:val="clear" w:color="000000" w:fill="FF0000"/>
            <w:vAlign w:val="center"/>
            <w:hideMark/>
          </w:tcPr>
          <w:p w14:paraId="2A0DF1BE"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NO</w:t>
            </w:r>
          </w:p>
        </w:tc>
        <w:tc>
          <w:tcPr>
            <w:tcW w:w="1276" w:type="dxa"/>
            <w:shd w:val="clear" w:color="000000" w:fill="FF0000"/>
            <w:vAlign w:val="center"/>
            <w:hideMark/>
          </w:tcPr>
          <w:p w14:paraId="73FFE208"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Inexistente</w:t>
            </w:r>
          </w:p>
        </w:tc>
        <w:tc>
          <w:tcPr>
            <w:tcW w:w="851" w:type="dxa"/>
            <w:shd w:val="clear" w:color="auto" w:fill="auto"/>
            <w:vAlign w:val="center"/>
            <w:hideMark/>
          </w:tcPr>
          <w:p w14:paraId="3A8F4F35"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0%</w:t>
            </w:r>
          </w:p>
        </w:tc>
        <w:tc>
          <w:tcPr>
            <w:tcW w:w="3827" w:type="dxa"/>
            <w:shd w:val="clear" w:color="auto" w:fill="auto"/>
            <w:vAlign w:val="center"/>
            <w:hideMark/>
          </w:tcPr>
          <w:p w14:paraId="26DE794D"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Definir las responsabilidades de la dirección en la política del SGSI-PDP</w:t>
            </w:r>
          </w:p>
        </w:tc>
        <w:tc>
          <w:tcPr>
            <w:tcW w:w="1843" w:type="dxa"/>
          </w:tcPr>
          <w:p w14:paraId="3FE038AB"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4C6C11DA" w14:textId="77777777" w:rsidTr="004A6248">
        <w:trPr>
          <w:trHeight w:val="20"/>
        </w:trPr>
        <w:tc>
          <w:tcPr>
            <w:tcW w:w="546" w:type="dxa"/>
            <w:shd w:val="clear" w:color="auto" w:fill="auto"/>
            <w:vAlign w:val="center"/>
            <w:hideMark/>
          </w:tcPr>
          <w:p w14:paraId="25BC6518"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7.2.2</w:t>
            </w:r>
          </w:p>
        </w:tc>
        <w:tc>
          <w:tcPr>
            <w:tcW w:w="1156" w:type="dxa"/>
            <w:shd w:val="clear" w:color="auto" w:fill="auto"/>
            <w:vAlign w:val="center"/>
            <w:hideMark/>
          </w:tcPr>
          <w:p w14:paraId="477F10AD"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Toma de conciencia, educación y formación en la seguridad de la </w:t>
            </w:r>
            <w:r w:rsidRPr="00795864">
              <w:rPr>
                <w:rFonts w:asciiTheme="majorHAnsi" w:eastAsia="Times New Roman" w:hAnsiTheme="majorHAnsi" w:cstheme="majorHAnsi"/>
                <w:color w:val="000000"/>
                <w:sz w:val="16"/>
                <w:szCs w:val="16"/>
                <w:lang w:val="es-CO" w:eastAsia="es-CO"/>
              </w:rPr>
              <w:lastRenderedPageBreak/>
              <w:t>información</w:t>
            </w:r>
          </w:p>
        </w:tc>
        <w:tc>
          <w:tcPr>
            <w:tcW w:w="2551" w:type="dxa"/>
            <w:shd w:val="clear" w:color="auto" w:fill="auto"/>
            <w:vAlign w:val="center"/>
            <w:hideMark/>
          </w:tcPr>
          <w:p w14:paraId="70AF973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lastRenderedPageBreak/>
              <w:t xml:space="preserve">Todos los empleados de la organización, en donde sea pertinente y los contratistas, deben recibir la educación y la formación en toma de conciencia apropiada, y actualizaciones regulares sobre las </w:t>
            </w:r>
            <w:r w:rsidRPr="00795864">
              <w:rPr>
                <w:rFonts w:asciiTheme="majorHAnsi" w:eastAsia="Times New Roman" w:hAnsiTheme="majorHAnsi" w:cstheme="majorHAnsi"/>
                <w:color w:val="000000"/>
                <w:sz w:val="16"/>
                <w:szCs w:val="16"/>
                <w:lang w:val="es-CO" w:eastAsia="es-CO"/>
              </w:rPr>
              <w:lastRenderedPageBreak/>
              <w:t>políticas y procedimientos pertinentes para su cargo.</w:t>
            </w:r>
          </w:p>
        </w:tc>
        <w:tc>
          <w:tcPr>
            <w:tcW w:w="826" w:type="dxa"/>
            <w:shd w:val="clear" w:color="000000" w:fill="008000"/>
            <w:vAlign w:val="center"/>
            <w:hideMark/>
          </w:tcPr>
          <w:p w14:paraId="1B48CEB5"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lastRenderedPageBreak/>
              <w:t>Aplica</w:t>
            </w:r>
          </w:p>
        </w:tc>
        <w:tc>
          <w:tcPr>
            <w:tcW w:w="3569" w:type="dxa"/>
            <w:shd w:val="clear" w:color="auto" w:fill="auto"/>
            <w:vAlign w:val="center"/>
            <w:hideMark/>
          </w:tcPr>
          <w:p w14:paraId="532EB25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Talento Humano entrega las funciones que debe desempeñar el funcionario nuevo, mediante oficio y realiza una inducción institucional.</w:t>
            </w:r>
            <w:r w:rsidRPr="00795864">
              <w:rPr>
                <w:rFonts w:asciiTheme="majorHAnsi" w:eastAsia="Times New Roman" w:hAnsiTheme="majorHAnsi" w:cstheme="majorHAnsi"/>
                <w:color w:val="000000"/>
                <w:sz w:val="16"/>
                <w:szCs w:val="16"/>
                <w:lang w:val="es-CO" w:eastAsia="es-CO"/>
              </w:rPr>
              <w:br/>
              <w:t>* Adicionalmente en el puesto de trabajo se hace una nueva inducción por el jefe directo.</w:t>
            </w:r>
            <w:r w:rsidRPr="00795864">
              <w:rPr>
                <w:rFonts w:asciiTheme="majorHAnsi" w:eastAsia="Times New Roman" w:hAnsiTheme="majorHAnsi" w:cstheme="majorHAnsi"/>
                <w:color w:val="000000"/>
                <w:sz w:val="16"/>
                <w:szCs w:val="16"/>
                <w:lang w:val="es-CO" w:eastAsia="es-CO"/>
              </w:rPr>
              <w:br/>
              <w:t xml:space="preserve">* Se hace un proceso de reinducción cada dos </w:t>
            </w:r>
            <w:r w:rsidRPr="00795864">
              <w:rPr>
                <w:rFonts w:asciiTheme="majorHAnsi" w:eastAsia="Times New Roman" w:hAnsiTheme="majorHAnsi" w:cstheme="majorHAnsi"/>
                <w:color w:val="000000"/>
                <w:sz w:val="16"/>
                <w:szCs w:val="16"/>
                <w:lang w:val="es-CO" w:eastAsia="es-CO"/>
              </w:rPr>
              <w:lastRenderedPageBreak/>
              <w:t>años.</w:t>
            </w:r>
            <w:r w:rsidRPr="00795864">
              <w:rPr>
                <w:rFonts w:asciiTheme="majorHAnsi" w:eastAsia="Times New Roman" w:hAnsiTheme="majorHAnsi" w:cstheme="majorHAnsi"/>
                <w:color w:val="000000"/>
                <w:sz w:val="16"/>
                <w:szCs w:val="16"/>
                <w:lang w:val="es-CO" w:eastAsia="es-CO"/>
              </w:rPr>
              <w:br/>
              <w:t>* No se hace inducción en temas referentes a la seguridad de la información.</w:t>
            </w:r>
          </w:p>
        </w:tc>
        <w:tc>
          <w:tcPr>
            <w:tcW w:w="1275" w:type="dxa"/>
            <w:shd w:val="clear" w:color="000000" w:fill="FF0000"/>
            <w:vAlign w:val="center"/>
            <w:hideMark/>
          </w:tcPr>
          <w:p w14:paraId="417DBE54"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lastRenderedPageBreak/>
              <w:t>NO</w:t>
            </w:r>
          </w:p>
        </w:tc>
        <w:tc>
          <w:tcPr>
            <w:tcW w:w="1276" w:type="dxa"/>
            <w:shd w:val="clear" w:color="000000" w:fill="FF0000"/>
            <w:vAlign w:val="center"/>
            <w:hideMark/>
          </w:tcPr>
          <w:p w14:paraId="0FFB71DD"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Inexistente</w:t>
            </w:r>
          </w:p>
        </w:tc>
        <w:tc>
          <w:tcPr>
            <w:tcW w:w="851" w:type="dxa"/>
            <w:shd w:val="clear" w:color="auto" w:fill="auto"/>
            <w:vAlign w:val="center"/>
            <w:hideMark/>
          </w:tcPr>
          <w:p w14:paraId="3C4BDA7E"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0%</w:t>
            </w:r>
          </w:p>
        </w:tc>
        <w:tc>
          <w:tcPr>
            <w:tcW w:w="3827" w:type="dxa"/>
            <w:shd w:val="clear" w:color="auto" w:fill="auto"/>
            <w:vAlign w:val="center"/>
            <w:hideMark/>
          </w:tcPr>
          <w:p w14:paraId="4509D7E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Establecer la toma de conciencia y la formación en la seguridad de la información en la política del SGSI-PDP</w:t>
            </w:r>
          </w:p>
        </w:tc>
        <w:tc>
          <w:tcPr>
            <w:tcW w:w="1843" w:type="dxa"/>
          </w:tcPr>
          <w:p w14:paraId="25ABD737"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19CC20C8" w14:textId="77777777" w:rsidTr="004A6248">
        <w:trPr>
          <w:trHeight w:val="20"/>
        </w:trPr>
        <w:tc>
          <w:tcPr>
            <w:tcW w:w="546" w:type="dxa"/>
            <w:shd w:val="clear" w:color="auto" w:fill="auto"/>
            <w:vAlign w:val="center"/>
            <w:hideMark/>
          </w:tcPr>
          <w:p w14:paraId="68F5ACDD"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7.2.3</w:t>
            </w:r>
          </w:p>
        </w:tc>
        <w:tc>
          <w:tcPr>
            <w:tcW w:w="1156" w:type="dxa"/>
            <w:shd w:val="clear" w:color="auto" w:fill="auto"/>
            <w:vAlign w:val="center"/>
            <w:hideMark/>
          </w:tcPr>
          <w:p w14:paraId="33F57DD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Proceso disciplinario</w:t>
            </w:r>
          </w:p>
        </w:tc>
        <w:tc>
          <w:tcPr>
            <w:tcW w:w="2551" w:type="dxa"/>
            <w:shd w:val="clear" w:color="auto" w:fill="auto"/>
            <w:vAlign w:val="center"/>
            <w:hideMark/>
          </w:tcPr>
          <w:p w14:paraId="6BEA707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 contar con un proceso formal y comunicado, para emprender acciones contra empleados que hayan cometido una violación a la seguridad de la información.</w:t>
            </w:r>
          </w:p>
        </w:tc>
        <w:tc>
          <w:tcPr>
            <w:tcW w:w="826" w:type="dxa"/>
            <w:shd w:val="clear" w:color="000000" w:fill="008000"/>
            <w:vAlign w:val="center"/>
            <w:hideMark/>
          </w:tcPr>
          <w:p w14:paraId="1BEA1FCA"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7FD23AA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cuenta con proceso disciplinario por manejo inadecuado de información.</w:t>
            </w:r>
            <w:r w:rsidRPr="00795864">
              <w:rPr>
                <w:rFonts w:asciiTheme="majorHAnsi" w:eastAsia="Times New Roman" w:hAnsiTheme="majorHAnsi" w:cstheme="majorHAnsi"/>
                <w:color w:val="000000"/>
                <w:sz w:val="16"/>
                <w:szCs w:val="16"/>
                <w:lang w:val="es-CO" w:eastAsia="es-CO"/>
              </w:rPr>
              <w:br/>
              <w:t>Control interno, ejecuta el procedimiento a funcionarios y contratistas según procedimiento operativo estándar disciplinario bajo la ley 734 de 2002.</w:t>
            </w:r>
          </w:p>
        </w:tc>
        <w:tc>
          <w:tcPr>
            <w:tcW w:w="1275" w:type="dxa"/>
            <w:shd w:val="clear" w:color="000000" w:fill="92D050"/>
            <w:vAlign w:val="center"/>
            <w:hideMark/>
          </w:tcPr>
          <w:p w14:paraId="3F213AAA"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SI</w:t>
            </w:r>
          </w:p>
        </w:tc>
        <w:tc>
          <w:tcPr>
            <w:tcW w:w="1276" w:type="dxa"/>
            <w:shd w:val="clear" w:color="000000" w:fill="0070C0"/>
            <w:vAlign w:val="center"/>
            <w:hideMark/>
          </w:tcPr>
          <w:p w14:paraId="78D45A81"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05A10366"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0D0C0F56"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Definir un proceso disciplinario en caso de una violación a las políticas de seguridad de la información</w:t>
            </w:r>
          </w:p>
        </w:tc>
        <w:tc>
          <w:tcPr>
            <w:tcW w:w="1843" w:type="dxa"/>
          </w:tcPr>
          <w:p w14:paraId="22B52153"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41138847" w14:textId="77777777" w:rsidTr="004A6248">
        <w:trPr>
          <w:trHeight w:val="20"/>
        </w:trPr>
        <w:tc>
          <w:tcPr>
            <w:tcW w:w="546" w:type="dxa"/>
            <w:shd w:val="clear" w:color="000000" w:fill="538DD5"/>
            <w:vAlign w:val="center"/>
            <w:hideMark/>
          </w:tcPr>
          <w:p w14:paraId="471251E7"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7.3</w:t>
            </w:r>
          </w:p>
        </w:tc>
        <w:tc>
          <w:tcPr>
            <w:tcW w:w="10653" w:type="dxa"/>
            <w:gridSpan w:val="6"/>
            <w:shd w:val="clear" w:color="000000" w:fill="538DD5"/>
            <w:vAlign w:val="center"/>
            <w:hideMark/>
          </w:tcPr>
          <w:p w14:paraId="24DCDC11"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Terminación y cambio de empleo</w:t>
            </w:r>
          </w:p>
        </w:tc>
        <w:tc>
          <w:tcPr>
            <w:tcW w:w="851" w:type="dxa"/>
            <w:shd w:val="clear" w:color="000000" w:fill="538DD5"/>
            <w:vAlign w:val="center"/>
            <w:hideMark/>
          </w:tcPr>
          <w:p w14:paraId="47F34726"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60%</w:t>
            </w:r>
          </w:p>
        </w:tc>
        <w:tc>
          <w:tcPr>
            <w:tcW w:w="3827" w:type="dxa"/>
            <w:shd w:val="clear" w:color="000000" w:fill="538DD5"/>
            <w:vAlign w:val="center"/>
            <w:hideMark/>
          </w:tcPr>
          <w:p w14:paraId="5AFD67E0"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4686EBDE"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664FCFA3" w14:textId="77777777" w:rsidTr="004A6248">
        <w:trPr>
          <w:trHeight w:val="20"/>
        </w:trPr>
        <w:tc>
          <w:tcPr>
            <w:tcW w:w="546" w:type="dxa"/>
            <w:shd w:val="clear" w:color="000000" w:fill="538DD5"/>
            <w:vAlign w:val="center"/>
            <w:hideMark/>
          </w:tcPr>
          <w:p w14:paraId="255FE376"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6AA5ED46"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Proteger los intereses de la organización como parte del proceso de cambio o terminación de empleo.</w:t>
            </w:r>
          </w:p>
        </w:tc>
        <w:tc>
          <w:tcPr>
            <w:tcW w:w="851" w:type="dxa"/>
            <w:shd w:val="clear" w:color="000000" w:fill="538DD5"/>
            <w:vAlign w:val="center"/>
            <w:hideMark/>
          </w:tcPr>
          <w:p w14:paraId="7A8C743D"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3827" w:type="dxa"/>
            <w:shd w:val="clear" w:color="000000" w:fill="538DD5"/>
            <w:vAlign w:val="center"/>
            <w:hideMark/>
          </w:tcPr>
          <w:p w14:paraId="795431E1"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2E0A9055"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285EE81E" w14:textId="77777777" w:rsidTr="004A6248">
        <w:trPr>
          <w:trHeight w:val="6006"/>
        </w:trPr>
        <w:tc>
          <w:tcPr>
            <w:tcW w:w="546" w:type="dxa"/>
            <w:shd w:val="clear" w:color="auto" w:fill="auto"/>
            <w:vAlign w:val="center"/>
            <w:hideMark/>
          </w:tcPr>
          <w:p w14:paraId="1EDD9A5A"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lastRenderedPageBreak/>
              <w:t>7.3.1</w:t>
            </w:r>
          </w:p>
        </w:tc>
        <w:tc>
          <w:tcPr>
            <w:tcW w:w="1156" w:type="dxa"/>
            <w:shd w:val="clear" w:color="auto" w:fill="auto"/>
            <w:vAlign w:val="center"/>
            <w:hideMark/>
          </w:tcPr>
          <w:p w14:paraId="3677250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Terminación o cambio de responsabilidades de empleo</w:t>
            </w:r>
          </w:p>
        </w:tc>
        <w:tc>
          <w:tcPr>
            <w:tcW w:w="2551" w:type="dxa"/>
            <w:shd w:val="clear" w:color="auto" w:fill="auto"/>
            <w:vAlign w:val="center"/>
            <w:hideMark/>
          </w:tcPr>
          <w:p w14:paraId="13D3FEB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Las responsabilidades y los deberes de seguridad de la información que permanecen válidos después de la terminación o cambio de empleo se deben definir, comunicar al empleado o contratista y se deben hacer cumplir.</w:t>
            </w:r>
          </w:p>
        </w:tc>
        <w:tc>
          <w:tcPr>
            <w:tcW w:w="826" w:type="dxa"/>
            <w:shd w:val="clear" w:color="000000" w:fill="008000"/>
            <w:vAlign w:val="center"/>
            <w:hideMark/>
          </w:tcPr>
          <w:p w14:paraId="46E09544"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30CB2E2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Cuando un funcionario sale a vacaciones, o de licencia, se bloquean los accesos durante dicho periodo. Cuando se retira también se notifica a la OTIC.</w:t>
            </w:r>
            <w:r w:rsidRPr="00795864">
              <w:rPr>
                <w:rFonts w:asciiTheme="majorHAnsi" w:eastAsia="Times New Roman" w:hAnsiTheme="majorHAnsi" w:cstheme="majorHAnsi"/>
                <w:color w:val="000000"/>
                <w:sz w:val="16"/>
                <w:szCs w:val="16"/>
                <w:lang w:val="es-CO" w:eastAsia="es-CO"/>
              </w:rPr>
              <w:br/>
              <w:t>* El proceso Contractual envían un archivo con un acumulado de las personas a las que se les termina el contrato.</w:t>
            </w:r>
            <w:r w:rsidRPr="00795864">
              <w:rPr>
                <w:rFonts w:asciiTheme="majorHAnsi" w:eastAsia="Times New Roman" w:hAnsiTheme="majorHAnsi" w:cstheme="majorHAnsi"/>
                <w:color w:val="000000"/>
                <w:sz w:val="16"/>
                <w:szCs w:val="16"/>
                <w:lang w:val="es-CO" w:eastAsia="es-CO"/>
              </w:rPr>
              <w:br/>
              <w:t>* En el directorio activo se encuentra la fecha de caducidad del contrato para que venzan los permisos de acceso.</w:t>
            </w:r>
            <w:r w:rsidRPr="00795864">
              <w:rPr>
                <w:rFonts w:asciiTheme="majorHAnsi" w:eastAsia="Times New Roman" w:hAnsiTheme="majorHAnsi" w:cstheme="majorHAnsi"/>
                <w:color w:val="000000"/>
                <w:sz w:val="16"/>
                <w:szCs w:val="16"/>
                <w:lang w:val="es-CO" w:eastAsia="es-CO"/>
              </w:rPr>
              <w:br/>
              <w:t>* Las notificaciones se hacen por correo.</w:t>
            </w:r>
            <w:r w:rsidRPr="00795864">
              <w:rPr>
                <w:rFonts w:asciiTheme="majorHAnsi" w:eastAsia="Times New Roman" w:hAnsiTheme="majorHAnsi" w:cstheme="majorHAnsi"/>
                <w:color w:val="000000"/>
                <w:sz w:val="16"/>
                <w:szCs w:val="16"/>
                <w:lang w:val="es-CO" w:eastAsia="es-CO"/>
              </w:rPr>
              <w:br/>
              <w:t>* No se notifica cuando existen cambios a nivel de cargos entre áreas. Si se requiere algún cambio de permisos requiere la autorización del jefe inmediato.</w:t>
            </w:r>
            <w:r w:rsidRPr="00795864">
              <w:rPr>
                <w:rFonts w:asciiTheme="majorHAnsi" w:eastAsia="Times New Roman" w:hAnsiTheme="majorHAnsi" w:cstheme="majorHAnsi"/>
                <w:color w:val="000000"/>
                <w:sz w:val="16"/>
                <w:szCs w:val="16"/>
                <w:lang w:val="es-CO" w:eastAsia="es-CO"/>
              </w:rPr>
              <w:br/>
            </w:r>
            <w:r w:rsidRPr="00795864">
              <w:rPr>
                <w:rFonts w:asciiTheme="majorHAnsi" w:eastAsia="Times New Roman" w:hAnsiTheme="majorHAnsi" w:cstheme="majorHAnsi"/>
                <w:color w:val="000000"/>
                <w:sz w:val="16"/>
                <w:szCs w:val="16"/>
                <w:lang w:val="es-CO" w:eastAsia="es-CO"/>
              </w:rPr>
              <w:br/>
              <w:t>* Para el retiro se hace un acto administrativo aceptando la renuncia, se informa que debe llenar acta de entrega de cargo, diligenciar el paz y salvo del jefe inmediato, de almacén, de biblioteca, de tesorería y de contabilidad, entrega el carnet y la tarjeta de ingreso y se archiva en la historia laboral.</w:t>
            </w:r>
            <w:r w:rsidRPr="00795864">
              <w:rPr>
                <w:rFonts w:asciiTheme="majorHAnsi" w:eastAsia="Times New Roman" w:hAnsiTheme="majorHAnsi" w:cstheme="majorHAnsi"/>
                <w:color w:val="000000"/>
                <w:sz w:val="16"/>
                <w:szCs w:val="16"/>
                <w:lang w:val="es-CO" w:eastAsia="es-CO"/>
              </w:rPr>
              <w:br/>
              <w:t>* Durante el acto administrativo se notifica a TI</w:t>
            </w:r>
            <w:r w:rsidRPr="00795864">
              <w:rPr>
                <w:rFonts w:asciiTheme="majorHAnsi" w:eastAsia="Times New Roman" w:hAnsiTheme="majorHAnsi" w:cstheme="majorHAnsi"/>
                <w:color w:val="000000"/>
                <w:sz w:val="16"/>
                <w:szCs w:val="16"/>
                <w:lang w:val="es-CO" w:eastAsia="es-CO"/>
              </w:rPr>
              <w:br/>
              <w:t>* No se solicita paz y salvo a contratistas cuando se retiran. Se requiere un mecanismo para la entrega del cargo antes de que se vaya el contratista.</w:t>
            </w:r>
            <w:r w:rsidRPr="00795864">
              <w:rPr>
                <w:rFonts w:asciiTheme="majorHAnsi" w:eastAsia="Times New Roman" w:hAnsiTheme="majorHAnsi" w:cstheme="majorHAnsi"/>
                <w:color w:val="000000"/>
                <w:sz w:val="16"/>
                <w:szCs w:val="16"/>
                <w:lang w:val="es-CO" w:eastAsia="es-CO"/>
              </w:rPr>
              <w:br/>
              <w:t>* No se tiene procedimiento por despido únicamente por renuncia.</w:t>
            </w:r>
          </w:p>
        </w:tc>
        <w:tc>
          <w:tcPr>
            <w:tcW w:w="1275" w:type="dxa"/>
            <w:shd w:val="clear" w:color="000000" w:fill="E26B0A"/>
            <w:vAlign w:val="center"/>
            <w:hideMark/>
          </w:tcPr>
          <w:p w14:paraId="7DB6E0A3"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B0F0"/>
            <w:vAlign w:val="center"/>
            <w:hideMark/>
          </w:tcPr>
          <w:p w14:paraId="6BD4D62E"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Definido</w:t>
            </w:r>
          </w:p>
        </w:tc>
        <w:tc>
          <w:tcPr>
            <w:tcW w:w="851" w:type="dxa"/>
            <w:shd w:val="clear" w:color="auto" w:fill="auto"/>
            <w:vAlign w:val="center"/>
            <w:hideMark/>
          </w:tcPr>
          <w:p w14:paraId="5F29A469"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60%</w:t>
            </w:r>
          </w:p>
        </w:tc>
        <w:tc>
          <w:tcPr>
            <w:tcW w:w="3827" w:type="dxa"/>
            <w:shd w:val="clear" w:color="auto" w:fill="auto"/>
            <w:vAlign w:val="center"/>
            <w:hideMark/>
          </w:tcPr>
          <w:p w14:paraId="5B953A2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Revisar la pertinencia de las cláusulas de confidencialidad en cargos críticos del INS y ajustarlas</w:t>
            </w:r>
          </w:p>
        </w:tc>
        <w:tc>
          <w:tcPr>
            <w:tcW w:w="1843" w:type="dxa"/>
          </w:tcPr>
          <w:p w14:paraId="06E55E4A"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0D44B03E" w14:textId="77777777" w:rsidTr="004A6248">
        <w:trPr>
          <w:trHeight w:val="20"/>
        </w:trPr>
        <w:tc>
          <w:tcPr>
            <w:tcW w:w="546" w:type="dxa"/>
            <w:shd w:val="clear" w:color="000000" w:fill="1F497D"/>
            <w:vAlign w:val="center"/>
            <w:hideMark/>
          </w:tcPr>
          <w:p w14:paraId="5BFB9951"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8</w:t>
            </w:r>
          </w:p>
        </w:tc>
        <w:tc>
          <w:tcPr>
            <w:tcW w:w="10653" w:type="dxa"/>
            <w:gridSpan w:val="6"/>
            <w:shd w:val="clear" w:color="000000" w:fill="1F497D"/>
            <w:vAlign w:val="center"/>
            <w:hideMark/>
          </w:tcPr>
          <w:p w14:paraId="5E35B122"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GESTIÓN DE ACTIVOS</w:t>
            </w:r>
          </w:p>
        </w:tc>
        <w:tc>
          <w:tcPr>
            <w:tcW w:w="851" w:type="dxa"/>
            <w:shd w:val="clear" w:color="000000" w:fill="1F497D"/>
            <w:vAlign w:val="center"/>
            <w:hideMark/>
          </w:tcPr>
          <w:p w14:paraId="4CD95718"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32%</w:t>
            </w:r>
          </w:p>
        </w:tc>
        <w:tc>
          <w:tcPr>
            <w:tcW w:w="3827" w:type="dxa"/>
            <w:shd w:val="clear" w:color="000000" w:fill="1F497D"/>
            <w:vAlign w:val="center"/>
            <w:hideMark/>
          </w:tcPr>
          <w:p w14:paraId="48EF033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1F497D"/>
          </w:tcPr>
          <w:p w14:paraId="145B4A79"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6578F320" w14:textId="77777777" w:rsidTr="004A6248">
        <w:trPr>
          <w:trHeight w:val="20"/>
        </w:trPr>
        <w:tc>
          <w:tcPr>
            <w:tcW w:w="546" w:type="dxa"/>
            <w:shd w:val="clear" w:color="000000" w:fill="538DD5"/>
            <w:vAlign w:val="center"/>
            <w:hideMark/>
          </w:tcPr>
          <w:p w14:paraId="1F29FB6A"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8.1</w:t>
            </w:r>
          </w:p>
        </w:tc>
        <w:tc>
          <w:tcPr>
            <w:tcW w:w="10653" w:type="dxa"/>
            <w:gridSpan w:val="6"/>
            <w:shd w:val="clear" w:color="000000" w:fill="538DD5"/>
            <w:vAlign w:val="center"/>
            <w:hideMark/>
          </w:tcPr>
          <w:p w14:paraId="289ED086"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Responsabilidad por los activos</w:t>
            </w:r>
          </w:p>
        </w:tc>
        <w:tc>
          <w:tcPr>
            <w:tcW w:w="851" w:type="dxa"/>
            <w:shd w:val="clear" w:color="000000" w:fill="538DD5"/>
            <w:vAlign w:val="center"/>
            <w:hideMark/>
          </w:tcPr>
          <w:p w14:paraId="6FB2754D"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55%</w:t>
            </w:r>
          </w:p>
        </w:tc>
        <w:tc>
          <w:tcPr>
            <w:tcW w:w="3827" w:type="dxa"/>
            <w:shd w:val="clear" w:color="000000" w:fill="538DD5"/>
            <w:vAlign w:val="center"/>
            <w:hideMark/>
          </w:tcPr>
          <w:p w14:paraId="2C4AF5E6"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52C833D2"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34508211" w14:textId="77777777" w:rsidTr="004A6248">
        <w:trPr>
          <w:trHeight w:val="20"/>
        </w:trPr>
        <w:tc>
          <w:tcPr>
            <w:tcW w:w="546" w:type="dxa"/>
            <w:shd w:val="clear" w:color="000000" w:fill="538DD5"/>
            <w:vAlign w:val="center"/>
            <w:hideMark/>
          </w:tcPr>
          <w:p w14:paraId="6C140BC8"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5814ECD8"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Identificar los activos organizacionales y definir las responsabilidades de protección apropiadas.</w:t>
            </w:r>
          </w:p>
        </w:tc>
        <w:tc>
          <w:tcPr>
            <w:tcW w:w="851" w:type="dxa"/>
            <w:shd w:val="clear" w:color="000000" w:fill="538DD5"/>
            <w:vAlign w:val="center"/>
            <w:hideMark/>
          </w:tcPr>
          <w:p w14:paraId="35CEF79B"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3827" w:type="dxa"/>
            <w:shd w:val="clear" w:color="000000" w:fill="538DD5"/>
            <w:vAlign w:val="center"/>
            <w:hideMark/>
          </w:tcPr>
          <w:p w14:paraId="5FFDC6AE"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25BBE51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0D9A7E32" w14:textId="77777777" w:rsidTr="004A6248">
        <w:trPr>
          <w:trHeight w:val="20"/>
        </w:trPr>
        <w:tc>
          <w:tcPr>
            <w:tcW w:w="546" w:type="dxa"/>
            <w:shd w:val="clear" w:color="auto" w:fill="auto"/>
            <w:vAlign w:val="center"/>
            <w:hideMark/>
          </w:tcPr>
          <w:p w14:paraId="0F9A906F"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8.1.1</w:t>
            </w:r>
          </w:p>
        </w:tc>
        <w:tc>
          <w:tcPr>
            <w:tcW w:w="1156" w:type="dxa"/>
            <w:shd w:val="clear" w:color="auto" w:fill="auto"/>
            <w:vAlign w:val="center"/>
            <w:hideMark/>
          </w:tcPr>
          <w:p w14:paraId="37A3A60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Inventario de activos</w:t>
            </w:r>
          </w:p>
        </w:tc>
        <w:tc>
          <w:tcPr>
            <w:tcW w:w="2551" w:type="dxa"/>
            <w:shd w:val="clear" w:color="auto" w:fill="auto"/>
            <w:vAlign w:val="center"/>
            <w:hideMark/>
          </w:tcPr>
          <w:p w14:paraId="1C251AC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identificar los activos asociados con información e instalaciones de procesamiento de información, y se debe elaborar y mantener un inventario de estos activos.</w:t>
            </w:r>
          </w:p>
        </w:tc>
        <w:tc>
          <w:tcPr>
            <w:tcW w:w="826" w:type="dxa"/>
            <w:shd w:val="clear" w:color="000000" w:fill="008000"/>
            <w:vAlign w:val="center"/>
            <w:hideMark/>
          </w:tcPr>
          <w:p w14:paraId="56805180"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13C3913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Se cuenta con un Inventario de activos de información, el cual está valorado </w:t>
            </w:r>
            <w:proofErr w:type="gramStart"/>
            <w:r w:rsidRPr="00795864">
              <w:rPr>
                <w:rFonts w:asciiTheme="majorHAnsi" w:eastAsia="Times New Roman" w:hAnsiTheme="majorHAnsi" w:cstheme="majorHAnsi"/>
                <w:color w:val="000000"/>
                <w:sz w:val="16"/>
                <w:szCs w:val="16"/>
                <w:lang w:val="es-CO" w:eastAsia="es-CO"/>
              </w:rPr>
              <w:t>de acuerdo a</w:t>
            </w:r>
            <w:proofErr w:type="gramEnd"/>
            <w:r w:rsidRPr="00795864">
              <w:rPr>
                <w:rFonts w:asciiTheme="majorHAnsi" w:eastAsia="Times New Roman" w:hAnsiTheme="majorHAnsi" w:cstheme="majorHAnsi"/>
                <w:color w:val="000000"/>
                <w:sz w:val="16"/>
                <w:szCs w:val="16"/>
                <w:lang w:val="es-CO" w:eastAsia="es-CO"/>
              </w:rPr>
              <w:t xml:space="preserve"> la ley de transparencia y la ley protección de datos personales. Falta valorar los activos de información </w:t>
            </w:r>
            <w:proofErr w:type="gramStart"/>
            <w:r w:rsidRPr="00795864">
              <w:rPr>
                <w:rFonts w:asciiTheme="majorHAnsi" w:eastAsia="Times New Roman" w:hAnsiTheme="majorHAnsi" w:cstheme="majorHAnsi"/>
                <w:color w:val="000000"/>
                <w:sz w:val="16"/>
                <w:szCs w:val="16"/>
                <w:lang w:val="es-CO" w:eastAsia="es-CO"/>
              </w:rPr>
              <w:t>de acuerdo a</w:t>
            </w:r>
            <w:proofErr w:type="gramEnd"/>
            <w:r w:rsidRPr="00795864">
              <w:rPr>
                <w:rFonts w:asciiTheme="majorHAnsi" w:eastAsia="Times New Roman" w:hAnsiTheme="majorHAnsi" w:cstheme="majorHAnsi"/>
                <w:color w:val="000000"/>
                <w:sz w:val="16"/>
                <w:szCs w:val="16"/>
                <w:lang w:val="es-CO" w:eastAsia="es-CO"/>
              </w:rPr>
              <w:t xml:space="preserve"> los impactos por perdida de Confidencialidad, Integridad y Disponibilidad</w:t>
            </w:r>
          </w:p>
        </w:tc>
        <w:tc>
          <w:tcPr>
            <w:tcW w:w="1275" w:type="dxa"/>
            <w:shd w:val="clear" w:color="000000" w:fill="E26B0A"/>
            <w:vAlign w:val="center"/>
            <w:hideMark/>
          </w:tcPr>
          <w:p w14:paraId="50A6AC2B"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FFFF00"/>
            <w:vAlign w:val="center"/>
            <w:hideMark/>
          </w:tcPr>
          <w:p w14:paraId="2527C883"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Repetible</w:t>
            </w:r>
          </w:p>
        </w:tc>
        <w:tc>
          <w:tcPr>
            <w:tcW w:w="851" w:type="dxa"/>
            <w:shd w:val="clear" w:color="auto" w:fill="auto"/>
            <w:vAlign w:val="center"/>
            <w:hideMark/>
          </w:tcPr>
          <w:p w14:paraId="024409BC"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40%</w:t>
            </w:r>
          </w:p>
        </w:tc>
        <w:tc>
          <w:tcPr>
            <w:tcW w:w="3827" w:type="dxa"/>
            <w:shd w:val="clear" w:color="auto" w:fill="auto"/>
            <w:vAlign w:val="center"/>
            <w:hideMark/>
          </w:tcPr>
          <w:p w14:paraId="073610F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Definir la metodología para desarrollar el inventario de activos y llevarlo a cabo</w:t>
            </w:r>
          </w:p>
        </w:tc>
        <w:tc>
          <w:tcPr>
            <w:tcW w:w="1843" w:type="dxa"/>
          </w:tcPr>
          <w:p w14:paraId="4036B3BF"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2E16D134" w14:textId="77777777" w:rsidTr="004A6248">
        <w:trPr>
          <w:trHeight w:val="20"/>
        </w:trPr>
        <w:tc>
          <w:tcPr>
            <w:tcW w:w="546" w:type="dxa"/>
            <w:shd w:val="clear" w:color="auto" w:fill="auto"/>
            <w:vAlign w:val="center"/>
            <w:hideMark/>
          </w:tcPr>
          <w:p w14:paraId="7AE80A38"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lastRenderedPageBreak/>
              <w:t>8.1.2</w:t>
            </w:r>
          </w:p>
        </w:tc>
        <w:tc>
          <w:tcPr>
            <w:tcW w:w="1156" w:type="dxa"/>
            <w:shd w:val="clear" w:color="auto" w:fill="auto"/>
            <w:vAlign w:val="center"/>
            <w:hideMark/>
          </w:tcPr>
          <w:p w14:paraId="32DD002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Propiedad de los activos</w:t>
            </w:r>
          </w:p>
        </w:tc>
        <w:tc>
          <w:tcPr>
            <w:tcW w:w="2551" w:type="dxa"/>
            <w:shd w:val="clear" w:color="auto" w:fill="auto"/>
            <w:vAlign w:val="center"/>
            <w:hideMark/>
          </w:tcPr>
          <w:p w14:paraId="635CA5A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activos mantenidos en el inventario deben ser propios.</w:t>
            </w:r>
          </w:p>
        </w:tc>
        <w:tc>
          <w:tcPr>
            <w:tcW w:w="826" w:type="dxa"/>
            <w:shd w:val="clear" w:color="000000" w:fill="008000"/>
            <w:vAlign w:val="center"/>
            <w:hideMark/>
          </w:tcPr>
          <w:p w14:paraId="744CA3D4"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3B35EEE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En el inventario se encuentra definido el responsable de cada activo. La consultoría tiene el objetivo de revisar dicho inventario.</w:t>
            </w:r>
          </w:p>
        </w:tc>
        <w:tc>
          <w:tcPr>
            <w:tcW w:w="1275" w:type="dxa"/>
            <w:shd w:val="clear" w:color="000000" w:fill="92D050"/>
            <w:vAlign w:val="center"/>
            <w:hideMark/>
          </w:tcPr>
          <w:p w14:paraId="1F1A191D"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SI</w:t>
            </w:r>
          </w:p>
        </w:tc>
        <w:tc>
          <w:tcPr>
            <w:tcW w:w="1276" w:type="dxa"/>
            <w:shd w:val="clear" w:color="000000" w:fill="00B050"/>
            <w:vAlign w:val="center"/>
            <w:hideMark/>
          </w:tcPr>
          <w:p w14:paraId="47422C2D"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Optimizado</w:t>
            </w:r>
          </w:p>
        </w:tc>
        <w:tc>
          <w:tcPr>
            <w:tcW w:w="851" w:type="dxa"/>
            <w:shd w:val="clear" w:color="auto" w:fill="auto"/>
            <w:vAlign w:val="center"/>
            <w:hideMark/>
          </w:tcPr>
          <w:p w14:paraId="50A58E7E"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100%</w:t>
            </w:r>
          </w:p>
        </w:tc>
        <w:tc>
          <w:tcPr>
            <w:tcW w:w="3827" w:type="dxa"/>
            <w:shd w:val="clear" w:color="auto" w:fill="auto"/>
            <w:vAlign w:val="center"/>
            <w:hideMark/>
          </w:tcPr>
          <w:p w14:paraId="7A5850E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Definir la metodología para desarrollar el inventario de activos y llevarlo a cabo</w:t>
            </w:r>
          </w:p>
        </w:tc>
        <w:tc>
          <w:tcPr>
            <w:tcW w:w="1843" w:type="dxa"/>
          </w:tcPr>
          <w:p w14:paraId="2925E6DF"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7FE8B7CC" w14:textId="77777777" w:rsidTr="004A6248">
        <w:trPr>
          <w:trHeight w:val="20"/>
        </w:trPr>
        <w:tc>
          <w:tcPr>
            <w:tcW w:w="546" w:type="dxa"/>
            <w:shd w:val="clear" w:color="auto" w:fill="auto"/>
            <w:vAlign w:val="center"/>
            <w:hideMark/>
          </w:tcPr>
          <w:p w14:paraId="3C6489B6"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8.1.3</w:t>
            </w:r>
          </w:p>
        </w:tc>
        <w:tc>
          <w:tcPr>
            <w:tcW w:w="1156" w:type="dxa"/>
            <w:shd w:val="clear" w:color="auto" w:fill="auto"/>
            <w:vAlign w:val="center"/>
            <w:hideMark/>
          </w:tcPr>
          <w:p w14:paraId="7803F271"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Uso aceptable de los activos</w:t>
            </w:r>
          </w:p>
        </w:tc>
        <w:tc>
          <w:tcPr>
            <w:tcW w:w="2551" w:type="dxa"/>
            <w:shd w:val="clear" w:color="auto" w:fill="auto"/>
            <w:vAlign w:val="center"/>
            <w:hideMark/>
          </w:tcPr>
          <w:p w14:paraId="4A78C566"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identificar, documentar e implementar reglas para el uso aceptable de información y de activos asociados con información e instalaciones de procesamiento de información.</w:t>
            </w:r>
          </w:p>
        </w:tc>
        <w:tc>
          <w:tcPr>
            <w:tcW w:w="826" w:type="dxa"/>
            <w:shd w:val="clear" w:color="000000" w:fill="008000"/>
            <w:vAlign w:val="center"/>
            <w:hideMark/>
          </w:tcPr>
          <w:p w14:paraId="1639A6B6"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3CBD40A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Existe un instructivo de reglas de uso de dispositivos informáticos. Se debe establecer políticas para el uso aceptable de activos.</w:t>
            </w:r>
          </w:p>
        </w:tc>
        <w:tc>
          <w:tcPr>
            <w:tcW w:w="1275" w:type="dxa"/>
            <w:shd w:val="clear" w:color="000000" w:fill="E26B0A"/>
            <w:vAlign w:val="center"/>
            <w:hideMark/>
          </w:tcPr>
          <w:p w14:paraId="43650FEB"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E26B0A"/>
            <w:vAlign w:val="center"/>
            <w:hideMark/>
          </w:tcPr>
          <w:p w14:paraId="17208364"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Inicial</w:t>
            </w:r>
          </w:p>
        </w:tc>
        <w:tc>
          <w:tcPr>
            <w:tcW w:w="851" w:type="dxa"/>
            <w:shd w:val="clear" w:color="auto" w:fill="auto"/>
            <w:vAlign w:val="center"/>
            <w:hideMark/>
          </w:tcPr>
          <w:p w14:paraId="555D3EB6"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20%</w:t>
            </w:r>
          </w:p>
        </w:tc>
        <w:tc>
          <w:tcPr>
            <w:tcW w:w="3827" w:type="dxa"/>
            <w:shd w:val="clear" w:color="auto" w:fill="auto"/>
            <w:vAlign w:val="center"/>
            <w:hideMark/>
          </w:tcPr>
          <w:p w14:paraId="753BAC7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Definir política sobre el uso aceptable de los activos</w:t>
            </w:r>
          </w:p>
        </w:tc>
        <w:tc>
          <w:tcPr>
            <w:tcW w:w="1843" w:type="dxa"/>
          </w:tcPr>
          <w:p w14:paraId="0D548E6E"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0710C6B1" w14:textId="77777777" w:rsidTr="004A6248">
        <w:trPr>
          <w:trHeight w:val="20"/>
        </w:trPr>
        <w:tc>
          <w:tcPr>
            <w:tcW w:w="546" w:type="dxa"/>
            <w:shd w:val="clear" w:color="auto" w:fill="auto"/>
            <w:vAlign w:val="center"/>
            <w:hideMark/>
          </w:tcPr>
          <w:p w14:paraId="1DE002E6"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8.1.4</w:t>
            </w:r>
          </w:p>
        </w:tc>
        <w:tc>
          <w:tcPr>
            <w:tcW w:w="1156" w:type="dxa"/>
            <w:shd w:val="clear" w:color="auto" w:fill="auto"/>
            <w:vAlign w:val="center"/>
            <w:hideMark/>
          </w:tcPr>
          <w:p w14:paraId="35DBF9B6"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Devolución de activos</w:t>
            </w:r>
          </w:p>
        </w:tc>
        <w:tc>
          <w:tcPr>
            <w:tcW w:w="2551" w:type="dxa"/>
            <w:shd w:val="clear" w:color="auto" w:fill="auto"/>
            <w:vAlign w:val="center"/>
            <w:hideMark/>
          </w:tcPr>
          <w:p w14:paraId="530791E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Todos los empleados y usuarios de partes externas deben devolver todos los activos de la organización que se encuentren en su custodia, al terminar su empleo, contrato o acuerdo.</w:t>
            </w:r>
          </w:p>
        </w:tc>
        <w:tc>
          <w:tcPr>
            <w:tcW w:w="826" w:type="dxa"/>
            <w:shd w:val="clear" w:color="000000" w:fill="008000"/>
            <w:vAlign w:val="center"/>
            <w:hideMark/>
          </w:tcPr>
          <w:p w14:paraId="647471FA"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62456CB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Existe procedimiento de almacén para la devolución de activos por parte de funcionarios, luego de lo cual emiten </w:t>
            </w:r>
            <w:proofErr w:type="gramStart"/>
            <w:r w:rsidRPr="00795864">
              <w:rPr>
                <w:rFonts w:asciiTheme="majorHAnsi" w:eastAsia="Times New Roman" w:hAnsiTheme="majorHAnsi" w:cstheme="majorHAnsi"/>
                <w:color w:val="000000"/>
                <w:sz w:val="16"/>
                <w:szCs w:val="16"/>
                <w:lang w:val="es-CO" w:eastAsia="es-CO"/>
              </w:rPr>
              <w:t>un paz</w:t>
            </w:r>
            <w:proofErr w:type="gramEnd"/>
            <w:r w:rsidRPr="00795864">
              <w:rPr>
                <w:rFonts w:asciiTheme="majorHAnsi" w:eastAsia="Times New Roman" w:hAnsiTheme="majorHAnsi" w:cstheme="majorHAnsi"/>
                <w:color w:val="000000"/>
                <w:sz w:val="16"/>
                <w:szCs w:val="16"/>
                <w:lang w:val="es-CO" w:eastAsia="es-CO"/>
              </w:rPr>
              <w:t xml:space="preserve"> y salvo.</w:t>
            </w:r>
            <w:r w:rsidRPr="00795864">
              <w:rPr>
                <w:rFonts w:asciiTheme="majorHAnsi" w:eastAsia="Times New Roman" w:hAnsiTheme="majorHAnsi" w:cstheme="majorHAnsi"/>
                <w:color w:val="000000"/>
                <w:sz w:val="16"/>
                <w:szCs w:val="16"/>
                <w:lang w:val="es-CO" w:eastAsia="es-CO"/>
              </w:rPr>
              <w:br/>
              <w:t>Los contratistas no cuentan con dicho procedimiento, por lo cual se requiere formalizar dicha entrega. Esto debe aplicar tanto para equipos como para activos de información.</w:t>
            </w:r>
            <w:r w:rsidRPr="00795864">
              <w:rPr>
                <w:rFonts w:asciiTheme="majorHAnsi" w:eastAsia="Times New Roman" w:hAnsiTheme="majorHAnsi" w:cstheme="majorHAnsi"/>
                <w:color w:val="000000"/>
                <w:sz w:val="16"/>
                <w:szCs w:val="16"/>
                <w:lang w:val="es-CO" w:eastAsia="es-CO"/>
              </w:rPr>
              <w:br/>
              <w:t>Por ahora los contratistas deben devolver los activos al supervisor.</w:t>
            </w:r>
          </w:p>
        </w:tc>
        <w:tc>
          <w:tcPr>
            <w:tcW w:w="1275" w:type="dxa"/>
            <w:shd w:val="clear" w:color="000000" w:fill="E26B0A"/>
            <w:vAlign w:val="center"/>
            <w:hideMark/>
          </w:tcPr>
          <w:p w14:paraId="1C68B413"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B0F0"/>
            <w:vAlign w:val="center"/>
            <w:hideMark/>
          </w:tcPr>
          <w:p w14:paraId="77D0FF96"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Definido</w:t>
            </w:r>
          </w:p>
        </w:tc>
        <w:tc>
          <w:tcPr>
            <w:tcW w:w="851" w:type="dxa"/>
            <w:shd w:val="clear" w:color="auto" w:fill="auto"/>
            <w:vAlign w:val="center"/>
            <w:hideMark/>
          </w:tcPr>
          <w:p w14:paraId="27EA10A9"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60%</w:t>
            </w:r>
          </w:p>
        </w:tc>
        <w:tc>
          <w:tcPr>
            <w:tcW w:w="3827" w:type="dxa"/>
            <w:shd w:val="clear" w:color="auto" w:fill="auto"/>
            <w:vAlign w:val="center"/>
            <w:hideMark/>
          </w:tcPr>
          <w:p w14:paraId="598DDDE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Definir política sobre el uso aceptable de los activos</w:t>
            </w:r>
          </w:p>
        </w:tc>
        <w:tc>
          <w:tcPr>
            <w:tcW w:w="1843" w:type="dxa"/>
          </w:tcPr>
          <w:p w14:paraId="32872E87"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142E6FAB" w14:textId="77777777" w:rsidTr="004A6248">
        <w:trPr>
          <w:trHeight w:val="20"/>
        </w:trPr>
        <w:tc>
          <w:tcPr>
            <w:tcW w:w="546" w:type="dxa"/>
            <w:shd w:val="clear" w:color="000000" w:fill="538DD5"/>
            <w:vAlign w:val="center"/>
            <w:hideMark/>
          </w:tcPr>
          <w:p w14:paraId="29A31904"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8.2</w:t>
            </w:r>
          </w:p>
        </w:tc>
        <w:tc>
          <w:tcPr>
            <w:tcW w:w="10653" w:type="dxa"/>
            <w:gridSpan w:val="6"/>
            <w:shd w:val="clear" w:color="000000" w:fill="538DD5"/>
            <w:vAlign w:val="center"/>
            <w:hideMark/>
          </w:tcPr>
          <w:p w14:paraId="71038870"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Clasificación de la información</w:t>
            </w:r>
          </w:p>
        </w:tc>
        <w:tc>
          <w:tcPr>
            <w:tcW w:w="851" w:type="dxa"/>
            <w:shd w:val="clear" w:color="000000" w:fill="538DD5"/>
            <w:vAlign w:val="center"/>
            <w:hideMark/>
          </w:tcPr>
          <w:p w14:paraId="2F9636A9"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20%</w:t>
            </w:r>
          </w:p>
        </w:tc>
        <w:tc>
          <w:tcPr>
            <w:tcW w:w="3827" w:type="dxa"/>
            <w:shd w:val="clear" w:color="000000" w:fill="538DD5"/>
            <w:vAlign w:val="center"/>
            <w:hideMark/>
          </w:tcPr>
          <w:p w14:paraId="30BBC28B"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2E231D79"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6966F47B" w14:textId="77777777" w:rsidTr="004A6248">
        <w:trPr>
          <w:trHeight w:val="20"/>
        </w:trPr>
        <w:tc>
          <w:tcPr>
            <w:tcW w:w="546" w:type="dxa"/>
            <w:shd w:val="clear" w:color="000000" w:fill="538DD5"/>
            <w:vAlign w:val="center"/>
            <w:hideMark/>
          </w:tcPr>
          <w:p w14:paraId="547EBC40"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1D08C7E2"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Asegurar que la organización recibe un nivel apropiado de protección, de acuerdo con su importancia para la organización.</w:t>
            </w:r>
          </w:p>
        </w:tc>
        <w:tc>
          <w:tcPr>
            <w:tcW w:w="851" w:type="dxa"/>
            <w:shd w:val="clear" w:color="000000" w:fill="538DD5"/>
            <w:vAlign w:val="center"/>
            <w:hideMark/>
          </w:tcPr>
          <w:p w14:paraId="74E8DA67"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3827" w:type="dxa"/>
            <w:shd w:val="clear" w:color="000000" w:fill="538DD5"/>
            <w:vAlign w:val="center"/>
            <w:hideMark/>
          </w:tcPr>
          <w:p w14:paraId="240F8F31"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03F50254"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1EED8D50" w14:textId="77777777" w:rsidTr="004A6248">
        <w:trPr>
          <w:trHeight w:val="20"/>
        </w:trPr>
        <w:tc>
          <w:tcPr>
            <w:tcW w:w="546" w:type="dxa"/>
            <w:shd w:val="clear" w:color="auto" w:fill="auto"/>
            <w:vAlign w:val="center"/>
            <w:hideMark/>
          </w:tcPr>
          <w:p w14:paraId="2DBDF3B8"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8.2.1</w:t>
            </w:r>
          </w:p>
        </w:tc>
        <w:tc>
          <w:tcPr>
            <w:tcW w:w="1156" w:type="dxa"/>
            <w:shd w:val="clear" w:color="auto" w:fill="auto"/>
            <w:vAlign w:val="center"/>
            <w:hideMark/>
          </w:tcPr>
          <w:p w14:paraId="6B3B95E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Clasificación de la información</w:t>
            </w:r>
          </w:p>
        </w:tc>
        <w:tc>
          <w:tcPr>
            <w:tcW w:w="2551" w:type="dxa"/>
            <w:shd w:val="clear" w:color="auto" w:fill="auto"/>
            <w:vAlign w:val="center"/>
            <w:hideMark/>
          </w:tcPr>
          <w:p w14:paraId="67F3E596"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 información se debe clasificar en función de los requisitos legales, valor, criticidad y susceptibilidad a divulgación o a modificación no autorizada.</w:t>
            </w:r>
          </w:p>
        </w:tc>
        <w:tc>
          <w:tcPr>
            <w:tcW w:w="826" w:type="dxa"/>
            <w:shd w:val="clear" w:color="000000" w:fill="008000"/>
            <w:vAlign w:val="center"/>
            <w:hideMark/>
          </w:tcPr>
          <w:p w14:paraId="12BB9DC3"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429FF564"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El inventario está valorado </w:t>
            </w:r>
            <w:proofErr w:type="gramStart"/>
            <w:r w:rsidRPr="00795864">
              <w:rPr>
                <w:rFonts w:asciiTheme="majorHAnsi" w:eastAsia="Times New Roman" w:hAnsiTheme="majorHAnsi" w:cstheme="majorHAnsi"/>
                <w:color w:val="000000"/>
                <w:sz w:val="16"/>
                <w:szCs w:val="16"/>
                <w:lang w:val="es-CO" w:eastAsia="es-CO"/>
              </w:rPr>
              <w:t>de acuerdo a</w:t>
            </w:r>
            <w:proofErr w:type="gramEnd"/>
            <w:r w:rsidRPr="00795864">
              <w:rPr>
                <w:rFonts w:asciiTheme="majorHAnsi" w:eastAsia="Times New Roman" w:hAnsiTheme="majorHAnsi" w:cstheme="majorHAnsi"/>
                <w:color w:val="000000"/>
                <w:sz w:val="16"/>
                <w:szCs w:val="16"/>
                <w:lang w:val="es-CO" w:eastAsia="es-CO"/>
              </w:rPr>
              <w:t xml:space="preserve"> la ley de transparencia y la ley protección de datos personales. Falta valorar los activos de información </w:t>
            </w:r>
            <w:proofErr w:type="gramStart"/>
            <w:r w:rsidRPr="00795864">
              <w:rPr>
                <w:rFonts w:asciiTheme="majorHAnsi" w:eastAsia="Times New Roman" w:hAnsiTheme="majorHAnsi" w:cstheme="majorHAnsi"/>
                <w:color w:val="000000"/>
                <w:sz w:val="16"/>
                <w:szCs w:val="16"/>
                <w:lang w:val="es-CO" w:eastAsia="es-CO"/>
              </w:rPr>
              <w:t>de acuerdo a</w:t>
            </w:r>
            <w:proofErr w:type="gramEnd"/>
            <w:r w:rsidRPr="00795864">
              <w:rPr>
                <w:rFonts w:asciiTheme="majorHAnsi" w:eastAsia="Times New Roman" w:hAnsiTheme="majorHAnsi" w:cstheme="majorHAnsi"/>
                <w:color w:val="000000"/>
                <w:sz w:val="16"/>
                <w:szCs w:val="16"/>
                <w:lang w:val="es-CO" w:eastAsia="es-CO"/>
              </w:rPr>
              <w:t xml:space="preserve"> los impactos por perdida de Confidencialidad, Integridad y Disponibilidad</w:t>
            </w:r>
          </w:p>
        </w:tc>
        <w:tc>
          <w:tcPr>
            <w:tcW w:w="1275" w:type="dxa"/>
            <w:shd w:val="clear" w:color="000000" w:fill="E26B0A"/>
            <w:vAlign w:val="center"/>
            <w:hideMark/>
          </w:tcPr>
          <w:p w14:paraId="0D95D5F9"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B0F0"/>
            <w:vAlign w:val="center"/>
            <w:hideMark/>
          </w:tcPr>
          <w:p w14:paraId="483E605D"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Definido</w:t>
            </w:r>
          </w:p>
        </w:tc>
        <w:tc>
          <w:tcPr>
            <w:tcW w:w="851" w:type="dxa"/>
            <w:shd w:val="clear" w:color="auto" w:fill="auto"/>
            <w:vAlign w:val="center"/>
            <w:hideMark/>
          </w:tcPr>
          <w:p w14:paraId="1C039E63"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60%</w:t>
            </w:r>
          </w:p>
        </w:tc>
        <w:tc>
          <w:tcPr>
            <w:tcW w:w="3827" w:type="dxa"/>
            <w:shd w:val="clear" w:color="auto" w:fill="auto"/>
            <w:vAlign w:val="center"/>
            <w:hideMark/>
          </w:tcPr>
          <w:p w14:paraId="51E0043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Desarrollar la metodología para la clasificación de la información en el INS</w:t>
            </w:r>
          </w:p>
        </w:tc>
        <w:tc>
          <w:tcPr>
            <w:tcW w:w="1843" w:type="dxa"/>
          </w:tcPr>
          <w:p w14:paraId="1A0DCFE7"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70EAC884" w14:textId="77777777" w:rsidTr="004A6248">
        <w:trPr>
          <w:trHeight w:val="20"/>
        </w:trPr>
        <w:tc>
          <w:tcPr>
            <w:tcW w:w="546" w:type="dxa"/>
            <w:shd w:val="clear" w:color="auto" w:fill="auto"/>
            <w:vAlign w:val="center"/>
            <w:hideMark/>
          </w:tcPr>
          <w:p w14:paraId="1A52F8FA"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8.2.2</w:t>
            </w:r>
          </w:p>
        </w:tc>
        <w:tc>
          <w:tcPr>
            <w:tcW w:w="1156" w:type="dxa"/>
            <w:shd w:val="clear" w:color="auto" w:fill="auto"/>
            <w:vAlign w:val="center"/>
            <w:hideMark/>
          </w:tcPr>
          <w:p w14:paraId="7C264A2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Etiquetado de la información</w:t>
            </w:r>
          </w:p>
        </w:tc>
        <w:tc>
          <w:tcPr>
            <w:tcW w:w="2551" w:type="dxa"/>
            <w:shd w:val="clear" w:color="auto" w:fill="auto"/>
            <w:vAlign w:val="center"/>
            <w:hideMark/>
          </w:tcPr>
          <w:p w14:paraId="63F801B3"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 desarrollar e implementar un conjunto apropiado de procedimientos para el etiquetado de la información, de acuerdo con el esquema de clasificación de información adoptado por la organización.</w:t>
            </w:r>
          </w:p>
        </w:tc>
        <w:tc>
          <w:tcPr>
            <w:tcW w:w="826" w:type="dxa"/>
            <w:shd w:val="clear" w:color="000000" w:fill="008000"/>
            <w:vAlign w:val="center"/>
            <w:hideMark/>
          </w:tcPr>
          <w:p w14:paraId="3C662524"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35ABAC3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No se tienen etiquetados documentos por su clasificación.</w:t>
            </w:r>
          </w:p>
        </w:tc>
        <w:tc>
          <w:tcPr>
            <w:tcW w:w="1275" w:type="dxa"/>
            <w:shd w:val="clear" w:color="000000" w:fill="FF0000"/>
            <w:vAlign w:val="center"/>
            <w:hideMark/>
          </w:tcPr>
          <w:p w14:paraId="15FBC262"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NO</w:t>
            </w:r>
          </w:p>
        </w:tc>
        <w:tc>
          <w:tcPr>
            <w:tcW w:w="1276" w:type="dxa"/>
            <w:shd w:val="clear" w:color="000000" w:fill="FF0000"/>
            <w:vAlign w:val="center"/>
            <w:hideMark/>
          </w:tcPr>
          <w:p w14:paraId="765CE6BD"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Inexistente</w:t>
            </w:r>
          </w:p>
        </w:tc>
        <w:tc>
          <w:tcPr>
            <w:tcW w:w="851" w:type="dxa"/>
            <w:shd w:val="clear" w:color="auto" w:fill="auto"/>
            <w:vAlign w:val="center"/>
            <w:hideMark/>
          </w:tcPr>
          <w:p w14:paraId="650CE941"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0%</w:t>
            </w:r>
          </w:p>
        </w:tc>
        <w:tc>
          <w:tcPr>
            <w:tcW w:w="3827" w:type="dxa"/>
            <w:shd w:val="clear" w:color="auto" w:fill="auto"/>
            <w:vAlign w:val="center"/>
            <w:hideMark/>
          </w:tcPr>
          <w:p w14:paraId="3B5D418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Desarrollar procedimiento para el etiquetado de la información en el INS</w:t>
            </w:r>
          </w:p>
        </w:tc>
        <w:tc>
          <w:tcPr>
            <w:tcW w:w="1843" w:type="dxa"/>
          </w:tcPr>
          <w:p w14:paraId="03A87706"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362CC83C" w14:textId="77777777" w:rsidTr="004A6248">
        <w:trPr>
          <w:trHeight w:val="20"/>
        </w:trPr>
        <w:tc>
          <w:tcPr>
            <w:tcW w:w="546" w:type="dxa"/>
            <w:shd w:val="clear" w:color="auto" w:fill="auto"/>
            <w:vAlign w:val="center"/>
            <w:hideMark/>
          </w:tcPr>
          <w:p w14:paraId="7A1B57A7"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8.2.3</w:t>
            </w:r>
          </w:p>
        </w:tc>
        <w:tc>
          <w:tcPr>
            <w:tcW w:w="1156" w:type="dxa"/>
            <w:shd w:val="clear" w:color="auto" w:fill="auto"/>
            <w:vAlign w:val="center"/>
            <w:hideMark/>
          </w:tcPr>
          <w:p w14:paraId="05FE8A7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Manejo de activos</w:t>
            </w:r>
          </w:p>
        </w:tc>
        <w:tc>
          <w:tcPr>
            <w:tcW w:w="2551" w:type="dxa"/>
            <w:shd w:val="clear" w:color="auto" w:fill="auto"/>
            <w:vAlign w:val="center"/>
            <w:hideMark/>
          </w:tcPr>
          <w:p w14:paraId="1113E21D"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desarrollar e implementar procedimientos para el manejo de activos, de acuerdo con el esquema de clasificación de información adoptado por la organización.</w:t>
            </w:r>
          </w:p>
        </w:tc>
        <w:tc>
          <w:tcPr>
            <w:tcW w:w="826" w:type="dxa"/>
            <w:shd w:val="clear" w:color="000000" w:fill="008000"/>
            <w:vAlign w:val="center"/>
            <w:hideMark/>
          </w:tcPr>
          <w:p w14:paraId="42D619F3"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2AAE4796"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No se tienen políticas de manejo de activos según su clasificación.</w:t>
            </w:r>
          </w:p>
        </w:tc>
        <w:tc>
          <w:tcPr>
            <w:tcW w:w="1275" w:type="dxa"/>
            <w:shd w:val="clear" w:color="000000" w:fill="FF0000"/>
            <w:vAlign w:val="center"/>
            <w:hideMark/>
          </w:tcPr>
          <w:p w14:paraId="7AFD03D4"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NO</w:t>
            </w:r>
          </w:p>
        </w:tc>
        <w:tc>
          <w:tcPr>
            <w:tcW w:w="1276" w:type="dxa"/>
            <w:shd w:val="clear" w:color="000000" w:fill="FF0000"/>
            <w:vAlign w:val="center"/>
            <w:hideMark/>
          </w:tcPr>
          <w:p w14:paraId="5788E103"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Inexistente</w:t>
            </w:r>
          </w:p>
        </w:tc>
        <w:tc>
          <w:tcPr>
            <w:tcW w:w="851" w:type="dxa"/>
            <w:shd w:val="clear" w:color="auto" w:fill="auto"/>
            <w:vAlign w:val="center"/>
            <w:hideMark/>
          </w:tcPr>
          <w:p w14:paraId="392D19D0"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0%</w:t>
            </w:r>
          </w:p>
        </w:tc>
        <w:tc>
          <w:tcPr>
            <w:tcW w:w="3827" w:type="dxa"/>
            <w:shd w:val="clear" w:color="auto" w:fill="auto"/>
            <w:vAlign w:val="center"/>
            <w:hideMark/>
          </w:tcPr>
          <w:p w14:paraId="124425B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Definir política sobre el uso aceptable de los activos</w:t>
            </w:r>
          </w:p>
        </w:tc>
        <w:tc>
          <w:tcPr>
            <w:tcW w:w="1843" w:type="dxa"/>
          </w:tcPr>
          <w:p w14:paraId="5B67BF8F"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70CBEB60" w14:textId="77777777" w:rsidTr="004A6248">
        <w:trPr>
          <w:trHeight w:val="20"/>
        </w:trPr>
        <w:tc>
          <w:tcPr>
            <w:tcW w:w="546" w:type="dxa"/>
            <w:shd w:val="clear" w:color="000000" w:fill="538DD5"/>
            <w:vAlign w:val="center"/>
            <w:hideMark/>
          </w:tcPr>
          <w:p w14:paraId="6F0A863A"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8.3</w:t>
            </w:r>
          </w:p>
        </w:tc>
        <w:tc>
          <w:tcPr>
            <w:tcW w:w="10653" w:type="dxa"/>
            <w:gridSpan w:val="6"/>
            <w:shd w:val="clear" w:color="000000" w:fill="538DD5"/>
            <w:vAlign w:val="center"/>
            <w:hideMark/>
          </w:tcPr>
          <w:p w14:paraId="01CC5683"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Manejo de los medios</w:t>
            </w:r>
          </w:p>
        </w:tc>
        <w:tc>
          <w:tcPr>
            <w:tcW w:w="851" w:type="dxa"/>
            <w:shd w:val="clear" w:color="000000" w:fill="538DD5"/>
            <w:vAlign w:val="center"/>
            <w:hideMark/>
          </w:tcPr>
          <w:p w14:paraId="171F8163"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20%</w:t>
            </w:r>
          </w:p>
        </w:tc>
        <w:tc>
          <w:tcPr>
            <w:tcW w:w="3827" w:type="dxa"/>
            <w:shd w:val="clear" w:color="000000" w:fill="538DD5"/>
            <w:vAlign w:val="center"/>
            <w:hideMark/>
          </w:tcPr>
          <w:p w14:paraId="2EB3635F"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32F80B07"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7E509DB0" w14:textId="77777777" w:rsidTr="004A6248">
        <w:trPr>
          <w:trHeight w:val="20"/>
        </w:trPr>
        <w:tc>
          <w:tcPr>
            <w:tcW w:w="546" w:type="dxa"/>
            <w:shd w:val="clear" w:color="000000" w:fill="538DD5"/>
            <w:vAlign w:val="center"/>
            <w:hideMark/>
          </w:tcPr>
          <w:p w14:paraId="5A11A7ED"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72641838"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Prevenir la divulgación, la modificación, el retiro o la destrucción de información almacenada en medios de soporte.</w:t>
            </w:r>
          </w:p>
        </w:tc>
        <w:tc>
          <w:tcPr>
            <w:tcW w:w="851" w:type="dxa"/>
            <w:shd w:val="clear" w:color="000000" w:fill="538DD5"/>
            <w:vAlign w:val="center"/>
            <w:hideMark/>
          </w:tcPr>
          <w:p w14:paraId="0502167B"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3827" w:type="dxa"/>
            <w:shd w:val="clear" w:color="000000" w:fill="538DD5"/>
            <w:vAlign w:val="center"/>
            <w:hideMark/>
          </w:tcPr>
          <w:p w14:paraId="3C25232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77C29164"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565C4728" w14:textId="77777777" w:rsidTr="004A6248">
        <w:trPr>
          <w:trHeight w:val="20"/>
        </w:trPr>
        <w:tc>
          <w:tcPr>
            <w:tcW w:w="546" w:type="dxa"/>
            <w:shd w:val="clear" w:color="auto" w:fill="auto"/>
            <w:vAlign w:val="center"/>
            <w:hideMark/>
          </w:tcPr>
          <w:p w14:paraId="75BE6C95"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lastRenderedPageBreak/>
              <w:t>8.3.1</w:t>
            </w:r>
          </w:p>
        </w:tc>
        <w:tc>
          <w:tcPr>
            <w:tcW w:w="1156" w:type="dxa"/>
            <w:shd w:val="clear" w:color="auto" w:fill="auto"/>
            <w:vAlign w:val="center"/>
            <w:hideMark/>
          </w:tcPr>
          <w:p w14:paraId="255895E1"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Gestión de medios removibles</w:t>
            </w:r>
          </w:p>
        </w:tc>
        <w:tc>
          <w:tcPr>
            <w:tcW w:w="2551" w:type="dxa"/>
            <w:shd w:val="clear" w:color="auto" w:fill="auto"/>
            <w:vAlign w:val="center"/>
            <w:hideMark/>
          </w:tcPr>
          <w:p w14:paraId="527A950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implementar procedimientos para la gestión de medios removibles, de acuerdo con el esquema de clasificación adoptado por la organización.</w:t>
            </w:r>
          </w:p>
        </w:tc>
        <w:tc>
          <w:tcPr>
            <w:tcW w:w="826" w:type="dxa"/>
            <w:shd w:val="clear" w:color="000000" w:fill="008000"/>
            <w:vAlign w:val="center"/>
            <w:hideMark/>
          </w:tcPr>
          <w:p w14:paraId="43B51C64"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160F0E2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No existen políticas para medios removibles.</w:t>
            </w:r>
            <w:r w:rsidRPr="00795864">
              <w:rPr>
                <w:rFonts w:asciiTheme="majorHAnsi" w:eastAsia="Times New Roman" w:hAnsiTheme="majorHAnsi" w:cstheme="majorHAnsi"/>
                <w:color w:val="000000"/>
                <w:sz w:val="16"/>
                <w:szCs w:val="16"/>
                <w:lang w:val="es-CO" w:eastAsia="es-CO"/>
              </w:rPr>
              <w:br/>
              <w:t>* Todos los equipos tienen habilitados los puertos USB.</w:t>
            </w:r>
            <w:r w:rsidRPr="00795864">
              <w:rPr>
                <w:rFonts w:asciiTheme="majorHAnsi" w:eastAsia="Times New Roman" w:hAnsiTheme="majorHAnsi" w:cstheme="majorHAnsi"/>
                <w:color w:val="000000"/>
                <w:sz w:val="16"/>
                <w:szCs w:val="16"/>
                <w:lang w:val="es-CO" w:eastAsia="es-CO"/>
              </w:rPr>
              <w:br/>
              <w:t xml:space="preserve">* Se utilizan medios de almacenamiento personales para </w:t>
            </w:r>
            <w:proofErr w:type="spellStart"/>
            <w:r w:rsidRPr="00795864">
              <w:rPr>
                <w:rFonts w:asciiTheme="majorHAnsi" w:eastAsia="Times New Roman" w:hAnsiTheme="majorHAnsi" w:cstheme="majorHAnsi"/>
                <w:color w:val="000000"/>
                <w:sz w:val="16"/>
                <w:szCs w:val="16"/>
                <w:lang w:val="es-CO" w:eastAsia="es-CO"/>
              </w:rPr>
              <w:t>backups</w:t>
            </w:r>
            <w:proofErr w:type="spellEnd"/>
            <w:r w:rsidRPr="00795864">
              <w:rPr>
                <w:rFonts w:asciiTheme="majorHAnsi" w:eastAsia="Times New Roman" w:hAnsiTheme="majorHAnsi" w:cstheme="majorHAnsi"/>
                <w:color w:val="000000"/>
                <w:sz w:val="16"/>
                <w:szCs w:val="16"/>
                <w:lang w:val="es-CO" w:eastAsia="es-CO"/>
              </w:rPr>
              <w:t xml:space="preserve">, como: Discos duros, USB, </w:t>
            </w:r>
            <w:proofErr w:type="spellStart"/>
            <w:r w:rsidRPr="00795864">
              <w:rPr>
                <w:rFonts w:asciiTheme="majorHAnsi" w:eastAsia="Times New Roman" w:hAnsiTheme="majorHAnsi" w:cstheme="majorHAnsi"/>
                <w:color w:val="000000"/>
                <w:sz w:val="16"/>
                <w:szCs w:val="16"/>
                <w:lang w:val="es-CO" w:eastAsia="es-CO"/>
              </w:rPr>
              <w:t>dvds</w:t>
            </w:r>
            <w:proofErr w:type="spellEnd"/>
            <w:r w:rsidRPr="00795864">
              <w:rPr>
                <w:rFonts w:asciiTheme="majorHAnsi" w:eastAsia="Times New Roman" w:hAnsiTheme="majorHAnsi" w:cstheme="majorHAnsi"/>
                <w:color w:val="000000"/>
                <w:sz w:val="16"/>
                <w:szCs w:val="16"/>
                <w:lang w:val="es-CO" w:eastAsia="es-CO"/>
              </w:rPr>
              <w:t>.</w:t>
            </w:r>
          </w:p>
        </w:tc>
        <w:tc>
          <w:tcPr>
            <w:tcW w:w="1275" w:type="dxa"/>
            <w:shd w:val="clear" w:color="000000" w:fill="FF0000"/>
            <w:vAlign w:val="center"/>
            <w:hideMark/>
          </w:tcPr>
          <w:p w14:paraId="5A9EE899"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NO</w:t>
            </w:r>
          </w:p>
        </w:tc>
        <w:tc>
          <w:tcPr>
            <w:tcW w:w="1276" w:type="dxa"/>
            <w:shd w:val="clear" w:color="000000" w:fill="FF0000"/>
            <w:vAlign w:val="center"/>
            <w:hideMark/>
          </w:tcPr>
          <w:p w14:paraId="1D4E2E25"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Inexistente</w:t>
            </w:r>
          </w:p>
        </w:tc>
        <w:tc>
          <w:tcPr>
            <w:tcW w:w="851" w:type="dxa"/>
            <w:shd w:val="clear" w:color="auto" w:fill="auto"/>
            <w:vAlign w:val="center"/>
            <w:hideMark/>
          </w:tcPr>
          <w:p w14:paraId="5B4CFEE2"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0%</w:t>
            </w:r>
          </w:p>
        </w:tc>
        <w:tc>
          <w:tcPr>
            <w:tcW w:w="3827" w:type="dxa"/>
            <w:shd w:val="clear" w:color="auto" w:fill="auto"/>
            <w:vAlign w:val="center"/>
            <w:hideMark/>
          </w:tcPr>
          <w:p w14:paraId="33DAFBD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Desarrollar políticas de manejo de medios removibles</w:t>
            </w:r>
          </w:p>
        </w:tc>
        <w:tc>
          <w:tcPr>
            <w:tcW w:w="1843" w:type="dxa"/>
          </w:tcPr>
          <w:p w14:paraId="72FC5BD7"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0236C574" w14:textId="77777777" w:rsidTr="004A6248">
        <w:trPr>
          <w:trHeight w:val="20"/>
        </w:trPr>
        <w:tc>
          <w:tcPr>
            <w:tcW w:w="546" w:type="dxa"/>
            <w:shd w:val="clear" w:color="auto" w:fill="auto"/>
            <w:vAlign w:val="center"/>
            <w:hideMark/>
          </w:tcPr>
          <w:p w14:paraId="2D22B3B5"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8.3.2</w:t>
            </w:r>
          </w:p>
        </w:tc>
        <w:tc>
          <w:tcPr>
            <w:tcW w:w="1156" w:type="dxa"/>
            <w:shd w:val="clear" w:color="auto" w:fill="auto"/>
            <w:vAlign w:val="center"/>
            <w:hideMark/>
          </w:tcPr>
          <w:p w14:paraId="2754E8F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Eliminación de los medios</w:t>
            </w:r>
          </w:p>
        </w:tc>
        <w:tc>
          <w:tcPr>
            <w:tcW w:w="2551" w:type="dxa"/>
            <w:shd w:val="clear" w:color="auto" w:fill="auto"/>
            <w:vAlign w:val="center"/>
            <w:hideMark/>
          </w:tcPr>
          <w:p w14:paraId="7F7B21A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medios deben ser desechados de forma segura cuando ya no son necesarios, utilizando procedimientos formales.</w:t>
            </w:r>
          </w:p>
        </w:tc>
        <w:tc>
          <w:tcPr>
            <w:tcW w:w="826" w:type="dxa"/>
            <w:shd w:val="clear" w:color="000000" w:fill="008000"/>
            <w:vAlign w:val="center"/>
            <w:hideMark/>
          </w:tcPr>
          <w:p w14:paraId="31C5F0A9"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11AE4ED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Cuando se va a dar de baja un equipo se formatea con formato rápido</w:t>
            </w:r>
            <w:r w:rsidRPr="00795864">
              <w:rPr>
                <w:rFonts w:asciiTheme="majorHAnsi" w:eastAsia="Times New Roman" w:hAnsiTheme="majorHAnsi" w:cstheme="majorHAnsi"/>
                <w:color w:val="000000"/>
                <w:sz w:val="16"/>
                <w:szCs w:val="16"/>
                <w:lang w:val="es-CO" w:eastAsia="es-CO"/>
              </w:rPr>
              <w:br/>
              <w:t>* Cuando se entrega un equipo a otro funcionario, sin pasar por almacén no se formatea el equipo.</w:t>
            </w:r>
          </w:p>
        </w:tc>
        <w:tc>
          <w:tcPr>
            <w:tcW w:w="1275" w:type="dxa"/>
            <w:shd w:val="clear" w:color="000000" w:fill="E26B0A"/>
            <w:vAlign w:val="center"/>
            <w:hideMark/>
          </w:tcPr>
          <w:p w14:paraId="6713B14C"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FFFF00"/>
            <w:vAlign w:val="center"/>
            <w:hideMark/>
          </w:tcPr>
          <w:p w14:paraId="7985A1F9"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Repetible</w:t>
            </w:r>
          </w:p>
        </w:tc>
        <w:tc>
          <w:tcPr>
            <w:tcW w:w="851" w:type="dxa"/>
            <w:shd w:val="clear" w:color="auto" w:fill="auto"/>
            <w:vAlign w:val="center"/>
            <w:hideMark/>
          </w:tcPr>
          <w:p w14:paraId="16A3C6D8"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40%</w:t>
            </w:r>
          </w:p>
        </w:tc>
        <w:tc>
          <w:tcPr>
            <w:tcW w:w="3827" w:type="dxa"/>
            <w:shd w:val="clear" w:color="auto" w:fill="auto"/>
            <w:vAlign w:val="center"/>
            <w:hideMark/>
          </w:tcPr>
          <w:p w14:paraId="241009D6"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Formalizar políticas de eliminación de medios</w:t>
            </w:r>
          </w:p>
        </w:tc>
        <w:tc>
          <w:tcPr>
            <w:tcW w:w="1843" w:type="dxa"/>
          </w:tcPr>
          <w:p w14:paraId="16562785"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0C35FF51" w14:textId="77777777" w:rsidTr="004A6248">
        <w:trPr>
          <w:trHeight w:val="20"/>
        </w:trPr>
        <w:tc>
          <w:tcPr>
            <w:tcW w:w="546" w:type="dxa"/>
            <w:shd w:val="clear" w:color="auto" w:fill="auto"/>
            <w:vAlign w:val="center"/>
            <w:hideMark/>
          </w:tcPr>
          <w:p w14:paraId="0A41A618"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8.3.3</w:t>
            </w:r>
          </w:p>
        </w:tc>
        <w:tc>
          <w:tcPr>
            <w:tcW w:w="1156" w:type="dxa"/>
            <w:shd w:val="clear" w:color="auto" w:fill="auto"/>
            <w:vAlign w:val="center"/>
            <w:hideMark/>
          </w:tcPr>
          <w:p w14:paraId="138DADF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Transferencia de medios físicos</w:t>
            </w:r>
          </w:p>
        </w:tc>
        <w:tc>
          <w:tcPr>
            <w:tcW w:w="2551" w:type="dxa"/>
            <w:shd w:val="clear" w:color="auto" w:fill="auto"/>
            <w:vAlign w:val="center"/>
            <w:hideMark/>
          </w:tcPr>
          <w:p w14:paraId="3D5836B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medios que contienen información se deben proteger contra acceso no autorizado, uso indebido o corrupción durante el transporte.</w:t>
            </w:r>
          </w:p>
        </w:tc>
        <w:tc>
          <w:tcPr>
            <w:tcW w:w="826" w:type="dxa"/>
            <w:shd w:val="clear" w:color="000000" w:fill="008000"/>
            <w:vAlign w:val="center"/>
            <w:hideMark/>
          </w:tcPr>
          <w:p w14:paraId="7C36D796"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5EF98F53"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Gestión documental, realiza el transporte de archivo físico.</w:t>
            </w:r>
            <w:r w:rsidRPr="00795864">
              <w:rPr>
                <w:rFonts w:asciiTheme="majorHAnsi" w:eastAsia="Times New Roman" w:hAnsiTheme="majorHAnsi" w:cstheme="majorHAnsi"/>
                <w:color w:val="000000"/>
                <w:sz w:val="16"/>
                <w:szCs w:val="16"/>
                <w:lang w:val="es-CO" w:eastAsia="es-CO"/>
              </w:rPr>
              <w:br/>
              <w:t>* Lo hacen directamente sin terceos</w:t>
            </w:r>
            <w:r w:rsidRPr="00795864">
              <w:rPr>
                <w:rFonts w:asciiTheme="majorHAnsi" w:eastAsia="Times New Roman" w:hAnsiTheme="majorHAnsi" w:cstheme="majorHAnsi"/>
                <w:color w:val="000000"/>
                <w:sz w:val="16"/>
                <w:szCs w:val="16"/>
                <w:lang w:val="es-CO" w:eastAsia="es-CO"/>
              </w:rPr>
              <w:br/>
              <w:t>* Transportan por medio de vehículo de la entidad sin los medios de seguridad adecuados.</w:t>
            </w:r>
          </w:p>
        </w:tc>
        <w:tc>
          <w:tcPr>
            <w:tcW w:w="1275" w:type="dxa"/>
            <w:shd w:val="clear" w:color="000000" w:fill="E26B0A"/>
            <w:vAlign w:val="center"/>
            <w:hideMark/>
          </w:tcPr>
          <w:p w14:paraId="26FC4A7B"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E26B0A"/>
            <w:vAlign w:val="center"/>
            <w:hideMark/>
          </w:tcPr>
          <w:p w14:paraId="37C216AB"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Inicial</w:t>
            </w:r>
          </w:p>
        </w:tc>
        <w:tc>
          <w:tcPr>
            <w:tcW w:w="851" w:type="dxa"/>
            <w:shd w:val="clear" w:color="auto" w:fill="auto"/>
            <w:vAlign w:val="center"/>
            <w:hideMark/>
          </w:tcPr>
          <w:p w14:paraId="2BEC6AA0"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20%</w:t>
            </w:r>
          </w:p>
        </w:tc>
        <w:tc>
          <w:tcPr>
            <w:tcW w:w="3827" w:type="dxa"/>
            <w:shd w:val="clear" w:color="auto" w:fill="auto"/>
            <w:vAlign w:val="center"/>
            <w:hideMark/>
          </w:tcPr>
          <w:p w14:paraId="27C3411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Formalizar políticas de transferencia de medios que contienen información contra acceso no autorizado, uso indebido o corrupción durante el transporte.</w:t>
            </w:r>
          </w:p>
        </w:tc>
        <w:tc>
          <w:tcPr>
            <w:tcW w:w="1843" w:type="dxa"/>
          </w:tcPr>
          <w:p w14:paraId="08A3BA7D"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7F0CCB2B" w14:textId="77777777" w:rsidTr="004A6248">
        <w:trPr>
          <w:trHeight w:val="20"/>
        </w:trPr>
        <w:tc>
          <w:tcPr>
            <w:tcW w:w="546" w:type="dxa"/>
            <w:shd w:val="clear" w:color="000000" w:fill="1F497D"/>
            <w:vAlign w:val="center"/>
            <w:hideMark/>
          </w:tcPr>
          <w:p w14:paraId="0E9078DB"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9</w:t>
            </w:r>
          </w:p>
        </w:tc>
        <w:tc>
          <w:tcPr>
            <w:tcW w:w="10653" w:type="dxa"/>
            <w:gridSpan w:val="6"/>
            <w:shd w:val="clear" w:color="000000" w:fill="1F497D"/>
            <w:vAlign w:val="center"/>
            <w:hideMark/>
          </w:tcPr>
          <w:p w14:paraId="57792666"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CONTROL DE ACCESO</w:t>
            </w:r>
          </w:p>
        </w:tc>
        <w:tc>
          <w:tcPr>
            <w:tcW w:w="851" w:type="dxa"/>
            <w:shd w:val="clear" w:color="000000" w:fill="1F497D"/>
            <w:vAlign w:val="center"/>
            <w:hideMark/>
          </w:tcPr>
          <w:p w14:paraId="5DC303C6"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60%</w:t>
            </w:r>
          </w:p>
        </w:tc>
        <w:tc>
          <w:tcPr>
            <w:tcW w:w="3827" w:type="dxa"/>
            <w:shd w:val="clear" w:color="000000" w:fill="1F497D"/>
            <w:vAlign w:val="center"/>
            <w:hideMark/>
          </w:tcPr>
          <w:p w14:paraId="1D74B247"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1F497D"/>
          </w:tcPr>
          <w:p w14:paraId="20E7FE20"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6777F672" w14:textId="77777777" w:rsidTr="004A6248">
        <w:trPr>
          <w:trHeight w:val="20"/>
        </w:trPr>
        <w:tc>
          <w:tcPr>
            <w:tcW w:w="546" w:type="dxa"/>
            <w:shd w:val="clear" w:color="000000" w:fill="538DD5"/>
            <w:vAlign w:val="center"/>
            <w:hideMark/>
          </w:tcPr>
          <w:p w14:paraId="28DB1DA5"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9.1</w:t>
            </w:r>
          </w:p>
        </w:tc>
        <w:tc>
          <w:tcPr>
            <w:tcW w:w="10653" w:type="dxa"/>
            <w:gridSpan w:val="6"/>
            <w:shd w:val="clear" w:color="000000" w:fill="538DD5"/>
            <w:vAlign w:val="center"/>
            <w:hideMark/>
          </w:tcPr>
          <w:p w14:paraId="790D0181"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Requisitos del negocio para control de acceso</w:t>
            </w:r>
          </w:p>
        </w:tc>
        <w:tc>
          <w:tcPr>
            <w:tcW w:w="851" w:type="dxa"/>
            <w:shd w:val="clear" w:color="000000" w:fill="538DD5"/>
            <w:vAlign w:val="center"/>
            <w:hideMark/>
          </w:tcPr>
          <w:p w14:paraId="02FFA568"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50%</w:t>
            </w:r>
          </w:p>
        </w:tc>
        <w:tc>
          <w:tcPr>
            <w:tcW w:w="3827" w:type="dxa"/>
            <w:shd w:val="clear" w:color="000000" w:fill="538DD5"/>
            <w:vAlign w:val="center"/>
            <w:hideMark/>
          </w:tcPr>
          <w:p w14:paraId="24793DDB"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5A46C171"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467F08A7" w14:textId="77777777" w:rsidTr="004A6248">
        <w:trPr>
          <w:trHeight w:val="20"/>
        </w:trPr>
        <w:tc>
          <w:tcPr>
            <w:tcW w:w="546" w:type="dxa"/>
            <w:shd w:val="clear" w:color="000000" w:fill="538DD5"/>
            <w:vAlign w:val="center"/>
            <w:hideMark/>
          </w:tcPr>
          <w:p w14:paraId="003670EC"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4396CABA"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Limitar el acceso a información y a instalaciones de procesamiento de información.</w:t>
            </w:r>
          </w:p>
        </w:tc>
        <w:tc>
          <w:tcPr>
            <w:tcW w:w="851" w:type="dxa"/>
            <w:shd w:val="clear" w:color="000000" w:fill="538DD5"/>
            <w:vAlign w:val="center"/>
            <w:hideMark/>
          </w:tcPr>
          <w:p w14:paraId="0AEC15DF"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3827" w:type="dxa"/>
            <w:shd w:val="clear" w:color="000000" w:fill="538DD5"/>
            <w:vAlign w:val="center"/>
            <w:hideMark/>
          </w:tcPr>
          <w:p w14:paraId="1E0FB4C6"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5B96E293"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7553A759" w14:textId="77777777" w:rsidTr="004A6248">
        <w:trPr>
          <w:trHeight w:val="20"/>
        </w:trPr>
        <w:tc>
          <w:tcPr>
            <w:tcW w:w="546" w:type="dxa"/>
            <w:shd w:val="clear" w:color="auto" w:fill="auto"/>
            <w:vAlign w:val="center"/>
            <w:hideMark/>
          </w:tcPr>
          <w:p w14:paraId="127BD40D"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9.1.1</w:t>
            </w:r>
          </w:p>
        </w:tc>
        <w:tc>
          <w:tcPr>
            <w:tcW w:w="1156" w:type="dxa"/>
            <w:shd w:val="clear" w:color="auto" w:fill="auto"/>
            <w:vAlign w:val="center"/>
            <w:hideMark/>
          </w:tcPr>
          <w:p w14:paraId="3382A0F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Política de control de acceso</w:t>
            </w:r>
          </w:p>
        </w:tc>
        <w:tc>
          <w:tcPr>
            <w:tcW w:w="2551" w:type="dxa"/>
            <w:shd w:val="clear" w:color="auto" w:fill="auto"/>
            <w:vAlign w:val="center"/>
            <w:hideMark/>
          </w:tcPr>
          <w:p w14:paraId="3566A81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 establecer, documentar y revisar una política de control de acceso con base en los requisitos del negocio y de seguridad de la información.</w:t>
            </w:r>
          </w:p>
        </w:tc>
        <w:tc>
          <w:tcPr>
            <w:tcW w:w="826" w:type="dxa"/>
            <w:shd w:val="clear" w:color="000000" w:fill="008000"/>
            <w:vAlign w:val="center"/>
            <w:hideMark/>
          </w:tcPr>
          <w:p w14:paraId="3E4BF55E"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0310DDA9" w14:textId="77777777" w:rsidR="004A6248" w:rsidRPr="00795864" w:rsidRDefault="004A6248" w:rsidP="000F099B">
            <w:pPr>
              <w:spacing w:after="240"/>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br/>
              <w:t>* El canal para solicitar la creación de usuarios es a través del Service Manager.</w:t>
            </w:r>
            <w:r w:rsidRPr="00795864">
              <w:rPr>
                <w:rFonts w:asciiTheme="majorHAnsi" w:eastAsia="Times New Roman" w:hAnsiTheme="majorHAnsi" w:cstheme="majorHAnsi"/>
                <w:color w:val="000000"/>
                <w:sz w:val="16"/>
                <w:szCs w:val="16"/>
                <w:lang w:val="es-CO" w:eastAsia="es-CO"/>
              </w:rPr>
              <w:br/>
              <w:t>* No se encuentra documentados los perfiles de acceso, aunque se crean perfiles básicos de dominio y de internet, permisos adicionales deben ser solicitados por los jefes inmediatos.</w:t>
            </w:r>
            <w:r w:rsidRPr="00795864">
              <w:rPr>
                <w:rFonts w:asciiTheme="majorHAnsi" w:eastAsia="Times New Roman" w:hAnsiTheme="majorHAnsi" w:cstheme="majorHAnsi"/>
                <w:color w:val="000000"/>
                <w:sz w:val="16"/>
                <w:szCs w:val="16"/>
                <w:lang w:val="es-CO" w:eastAsia="es-CO"/>
              </w:rPr>
              <w:br/>
              <w:t>* Los accesos a los sistemas de información son administrados por cada dirección.</w:t>
            </w:r>
            <w:r w:rsidRPr="00795864">
              <w:rPr>
                <w:rFonts w:asciiTheme="majorHAnsi" w:eastAsia="Times New Roman" w:hAnsiTheme="majorHAnsi" w:cstheme="majorHAnsi"/>
                <w:color w:val="000000"/>
                <w:sz w:val="16"/>
                <w:szCs w:val="16"/>
                <w:lang w:val="es-CO" w:eastAsia="es-CO"/>
              </w:rPr>
              <w:br/>
            </w:r>
          </w:p>
        </w:tc>
        <w:tc>
          <w:tcPr>
            <w:tcW w:w="1275" w:type="dxa"/>
            <w:shd w:val="clear" w:color="000000" w:fill="E26B0A"/>
            <w:vAlign w:val="center"/>
            <w:hideMark/>
          </w:tcPr>
          <w:p w14:paraId="39144CF3"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E26B0A"/>
            <w:vAlign w:val="center"/>
            <w:hideMark/>
          </w:tcPr>
          <w:p w14:paraId="5AD8D4BA"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Inicial</w:t>
            </w:r>
          </w:p>
        </w:tc>
        <w:tc>
          <w:tcPr>
            <w:tcW w:w="851" w:type="dxa"/>
            <w:shd w:val="clear" w:color="auto" w:fill="auto"/>
            <w:vAlign w:val="center"/>
            <w:hideMark/>
          </w:tcPr>
          <w:p w14:paraId="4B65DB3B"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20%</w:t>
            </w:r>
          </w:p>
        </w:tc>
        <w:tc>
          <w:tcPr>
            <w:tcW w:w="3827" w:type="dxa"/>
            <w:shd w:val="clear" w:color="auto" w:fill="auto"/>
            <w:vAlign w:val="center"/>
            <w:hideMark/>
          </w:tcPr>
          <w:p w14:paraId="1D98435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Formalizar las políticas de control de acceso a información y a instalaciones de procesamiento de información.</w:t>
            </w:r>
          </w:p>
        </w:tc>
        <w:tc>
          <w:tcPr>
            <w:tcW w:w="1843" w:type="dxa"/>
          </w:tcPr>
          <w:p w14:paraId="755C69CC"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707EC72D" w14:textId="77777777" w:rsidTr="004A6248">
        <w:trPr>
          <w:trHeight w:val="1450"/>
        </w:trPr>
        <w:tc>
          <w:tcPr>
            <w:tcW w:w="546" w:type="dxa"/>
            <w:shd w:val="clear" w:color="auto" w:fill="auto"/>
            <w:vAlign w:val="center"/>
            <w:hideMark/>
          </w:tcPr>
          <w:p w14:paraId="2548056F"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9.1.2</w:t>
            </w:r>
          </w:p>
        </w:tc>
        <w:tc>
          <w:tcPr>
            <w:tcW w:w="1156" w:type="dxa"/>
            <w:shd w:val="clear" w:color="auto" w:fill="auto"/>
            <w:vAlign w:val="center"/>
            <w:hideMark/>
          </w:tcPr>
          <w:p w14:paraId="57052FC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Acceso a redes y a servicios en red</w:t>
            </w:r>
          </w:p>
        </w:tc>
        <w:tc>
          <w:tcPr>
            <w:tcW w:w="2551" w:type="dxa"/>
            <w:shd w:val="clear" w:color="auto" w:fill="auto"/>
            <w:vAlign w:val="center"/>
            <w:hideMark/>
          </w:tcPr>
          <w:p w14:paraId="7D07489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usuarios solo deben disponer de acceso a la red y servicios en red a los cuales han sido específicamente autorizados para su uso.</w:t>
            </w:r>
          </w:p>
        </w:tc>
        <w:tc>
          <w:tcPr>
            <w:tcW w:w="826" w:type="dxa"/>
            <w:shd w:val="clear" w:color="000000" w:fill="008000"/>
            <w:vAlign w:val="center"/>
            <w:hideMark/>
          </w:tcPr>
          <w:p w14:paraId="1B79FFB7"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3253BE03"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La OTIC gestiona los accesos de los usuarios al dominio, a la red y el acceso a internet.</w:t>
            </w:r>
            <w:r w:rsidRPr="00795864">
              <w:rPr>
                <w:rFonts w:asciiTheme="majorHAnsi" w:eastAsia="Times New Roman" w:hAnsiTheme="majorHAnsi" w:cstheme="majorHAnsi"/>
                <w:color w:val="000000"/>
                <w:sz w:val="16"/>
                <w:szCs w:val="16"/>
                <w:lang w:val="es-CO" w:eastAsia="es-CO"/>
              </w:rPr>
              <w:br/>
              <w:t>* Los accesos a los sistemas de información son administrados por cada dirección.</w:t>
            </w:r>
          </w:p>
        </w:tc>
        <w:tc>
          <w:tcPr>
            <w:tcW w:w="1275" w:type="dxa"/>
            <w:shd w:val="clear" w:color="000000" w:fill="E26B0A"/>
            <w:vAlign w:val="center"/>
            <w:hideMark/>
          </w:tcPr>
          <w:p w14:paraId="51AD4B36"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70C0"/>
            <w:vAlign w:val="center"/>
            <w:hideMark/>
          </w:tcPr>
          <w:p w14:paraId="002B3375"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1461C501"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05CF855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Formalizar las políticas de control de acceso a información y a instalaciones de procesamiento de información.</w:t>
            </w:r>
          </w:p>
        </w:tc>
        <w:tc>
          <w:tcPr>
            <w:tcW w:w="1843" w:type="dxa"/>
          </w:tcPr>
          <w:p w14:paraId="053C2C5E"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171DF54A" w14:textId="77777777" w:rsidTr="004A6248">
        <w:trPr>
          <w:trHeight w:val="20"/>
        </w:trPr>
        <w:tc>
          <w:tcPr>
            <w:tcW w:w="546" w:type="dxa"/>
            <w:shd w:val="clear" w:color="000000" w:fill="538DD5"/>
            <w:vAlign w:val="center"/>
            <w:hideMark/>
          </w:tcPr>
          <w:p w14:paraId="4AAC021D"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9.2</w:t>
            </w:r>
          </w:p>
        </w:tc>
        <w:tc>
          <w:tcPr>
            <w:tcW w:w="10653" w:type="dxa"/>
            <w:gridSpan w:val="6"/>
            <w:shd w:val="clear" w:color="000000" w:fill="538DD5"/>
            <w:vAlign w:val="center"/>
            <w:hideMark/>
          </w:tcPr>
          <w:p w14:paraId="43D9ECD3"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Gestión de acceso de usuarios</w:t>
            </w:r>
          </w:p>
        </w:tc>
        <w:tc>
          <w:tcPr>
            <w:tcW w:w="851" w:type="dxa"/>
            <w:shd w:val="clear" w:color="000000" w:fill="538DD5"/>
            <w:vAlign w:val="center"/>
            <w:hideMark/>
          </w:tcPr>
          <w:p w14:paraId="1A5F2FC6"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60%</w:t>
            </w:r>
          </w:p>
        </w:tc>
        <w:tc>
          <w:tcPr>
            <w:tcW w:w="3827" w:type="dxa"/>
            <w:shd w:val="clear" w:color="000000" w:fill="538DD5"/>
            <w:vAlign w:val="center"/>
            <w:hideMark/>
          </w:tcPr>
          <w:p w14:paraId="50B87F9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5103BAB1"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73EA8431" w14:textId="77777777" w:rsidTr="004A6248">
        <w:trPr>
          <w:trHeight w:val="20"/>
        </w:trPr>
        <w:tc>
          <w:tcPr>
            <w:tcW w:w="546" w:type="dxa"/>
            <w:shd w:val="clear" w:color="000000" w:fill="538DD5"/>
            <w:vAlign w:val="center"/>
            <w:hideMark/>
          </w:tcPr>
          <w:p w14:paraId="7357DB51"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0C859E8D"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Asegurar el acceso de los usuarios autorizados e impedir el acceso no autorizado a sistemas y servicios.</w:t>
            </w:r>
          </w:p>
        </w:tc>
        <w:tc>
          <w:tcPr>
            <w:tcW w:w="851" w:type="dxa"/>
            <w:shd w:val="clear" w:color="000000" w:fill="538DD5"/>
            <w:vAlign w:val="center"/>
            <w:hideMark/>
          </w:tcPr>
          <w:p w14:paraId="7D203EE4"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3827" w:type="dxa"/>
            <w:shd w:val="clear" w:color="000000" w:fill="538DD5"/>
            <w:vAlign w:val="center"/>
            <w:hideMark/>
          </w:tcPr>
          <w:p w14:paraId="5919AF75"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496CF472"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13FF1857" w14:textId="77777777" w:rsidTr="004A6248">
        <w:trPr>
          <w:trHeight w:val="20"/>
        </w:trPr>
        <w:tc>
          <w:tcPr>
            <w:tcW w:w="546" w:type="dxa"/>
            <w:shd w:val="clear" w:color="auto" w:fill="auto"/>
            <w:vAlign w:val="center"/>
            <w:hideMark/>
          </w:tcPr>
          <w:p w14:paraId="06DE3049"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9.2.1</w:t>
            </w:r>
          </w:p>
        </w:tc>
        <w:tc>
          <w:tcPr>
            <w:tcW w:w="1156" w:type="dxa"/>
            <w:shd w:val="clear" w:color="auto" w:fill="auto"/>
            <w:vAlign w:val="center"/>
            <w:hideMark/>
          </w:tcPr>
          <w:p w14:paraId="14EF03F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Registro y eliminación de usuarios</w:t>
            </w:r>
          </w:p>
        </w:tc>
        <w:tc>
          <w:tcPr>
            <w:tcW w:w="2551" w:type="dxa"/>
            <w:shd w:val="clear" w:color="auto" w:fill="auto"/>
            <w:vAlign w:val="center"/>
            <w:hideMark/>
          </w:tcPr>
          <w:p w14:paraId="3077CAF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 implementar un proceso formal de registro y eliminación de usuarios, para permitir la asignación de los derechos de acceso.</w:t>
            </w:r>
          </w:p>
        </w:tc>
        <w:tc>
          <w:tcPr>
            <w:tcW w:w="826" w:type="dxa"/>
            <w:shd w:val="clear" w:color="000000" w:fill="008000"/>
            <w:vAlign w:val="center"/>
            <w:hideMark/>
          </w:tcPr>
          <w:p w14:paraId="7EB2FE7C"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33D9CC31"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La creación de usuarios llega por Service Manager</w:t>
            </w:r>
            <w:r w:rsidRPr="00795864">
              <w:rPr>
                <w:rFonts w:asciiTheme="majorHAnsi" w:eastAsia="Times New Roman" w:hAnsiTheme="majorHAnsi" w:cstheme="majorHAnsi"/>
                <w:color w:val="000000"/>
                <w:sz w:val="16"/>
                <w:szCs w:val="16"/>
                <w:lang w:val="es-CO" w:eastAsia="es-CO"/>
              </w:rPr>
              <w:br/>
              <w:t>* La modificación o bloqueo de una cuenta llega por correo a la jefatura de la OTIC.</w:t>
            </w:r>
            <w:r w:rsidRPr="00795864">
              <w:rPr>
                <w:rFonts w:asciiTheme="majorHAnsi" w:eastAsia="Times New Roman" w:hAnsiTheme="majorHAnsi" w:cstheme="majorHAnsi"/>
                <w:color w:val="000000"/>
                <w:sz w:val="16"/>
                <w:szCs w:val="16"/>
                <w:lang w:val="es-CO" w:eastAsia="es-CO"/>
              </w:rPr>
              <w:br/>
              <w:t xml:space="preserve">* No se tiene un proceso formal para la </w:t>
            </w:r>
            <w:r w:rsidRPr="00795864">
              <w:rPr>
                <w:rFonts w:asciiTheme="majorHAnsi" w:eastAsia="Times New Roman" w:hAnsiTheme="majorHAnsi" w:cstheme="majorHAnsi"/>
                <w:color w:val="000000"/>
                <w:sz w:val="16"/>
                <w:szCs w:val="16"/>
                <w:lang w:val="es-CO" w:eastAsia="es-CO"/>
              </w:rPr>
              <w:lastRenderedPageBreak/>
              <w:t>eliminación de cuentas de usuario.</w:t>
            </w:r>
          </w:p>
        </w:tc>
        <w:tc>
          <w:tcPr>
            <w:tcW w:w="1275" w:type="dxa"/>
            <w:shd w:val="clear" w:color="000000" w:fill="E26B0A"/>
            <w:vAlign w:val="center"/>
            <w:hideMark/>
          </w:tcPr>
          <w:p w14:paraId="457B3211"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lastRenderedPageBreak/>
              <w:t>PARCIAL</w:t>
            </w:r>
          </w:p>
        </w:tc>
        <w:tc>
          <w:tcPr>
            <w:tcW w:w="1276" w:type="dxa"/>
            <w:shd w:val="clear" w:color="000000" w:fill="0070C0"/>
            <w:vAlign w:val="center"/>
            <w:hideMark/>
          </w:tcPr>
          <w:p w14:paraId="223C8DD8"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081A5EE1"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76B6952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Formalizar políticas y procedimientos para la gestión de accesos a sistemas y servicios que incluyan: la creación, modificación, eliminación y revisión de dichos accesos.</w:t>
            </w:r>
          </w:p>
        </w:tc>
        <w:tc>
          <w:tcPr>
            <w:tcW w:w="1843" w:type="dxa"/>
          </w:tcPr>
          <w:p w14:paraId="558615CC"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29A50FFA" w14:textId="77777777" w:rsidTr="004A6248">
        <w:trPr>
          <w:trHeight w:val="20"/>
        </w:trPr>
        <w:tc>
          <w:tcPr>
            <w:tcW w:w="546" w:type="dxa"/>
            <w:shd w:val="clear" w:color="auto" w:fill="auto"/>
            <w:vAlign w:val="center"/>
            <w:hideMark/>
          </w:tcPr>
          <w:p w14:paraId="3C55844B"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9.2.2</w:t>
            </w:r>
          </w:p>
        </w:tc>
        <w:tc>
          <w:tcPr>
            <w:tcW w:w="1156" w:type="dxa"/>
            <w:shd w:val="clear" w:color="auto" w:fill="auto"/>
            <w:vAlign w:val="center"/>
            <w:hideMark/>
          </w:tcPr>
          <w:p w14:paraId="37C0FE0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Suministro de acceso de usuarios</w:t>
            </w:r>
          </w:p>
        </w:tc>
        <w:tc>
          <w:tcPr>
            <w:tcW w:w="2551" w:type="dxa"/>
            <w:shd w:val="clear" w:color="auto" w:fill="auto"/>
            <w:vAlign w:val="center"/>
            <w:hideMark/>
          </w:tcPr>
          <w:p w14:paraId="01DEF32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 implementar un proceso de suministro de acceso formal de usuarios para asignar o revocar los derechos de acceso a todo tipo de usuarios a todos los sistemas y servicios.</w:t>
            </w:r>
          </w:p>
        </w:tc>
        <w:tc>
          <w:tcPr>
            <w:tcW w:w="826" w:type="dxa"/>
            <w:shd w:val="clear" w:color="000000" w:fill="008000"/>
            <w:vAlign w:val="center"/>
            <w:hideMark/>
          </w:tcPr>
          <w:p w14:paraId="6123862C"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2ADF1FC1"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La creación de usuarios llega por Service Manager</w:t>
            </w:r>
            <w:r w:rsidRPr="00795864">
              <w:rPr>
                <w:rFonts w:asciiTheme="majorHAnsi" w:eastAsia="Times New Roman" w:hAnsiTheme="majorHAnsi" w:cstheme="majorHAnsi"/>
                <w:color w:val="000000"/>
                <w:sz w:val="16"/>
                <w:szCs w:val="16"/>
                <w:lang w:val="es-CO" w:eastAsia="es-CO"/>
              </w:rPr>
              <w:br/>
              <w:t>* La modificación o bloqueo de una cuenta llega por correo a la jefatura de la OTIC.</w:t>
            </w:r>
            <w:r w:rsidRPr="00795864">
              <w:rPr>
                <w:rFonts w:asciiTheme="majorHAnsi" w:eastAsia="Times New Roman" w:hAnsiTheme="majorHAnsi" w:cstheme="majorHAnsi"/>
                <w:color w:val="000000"/>
                <w:sz w:val="16"/>
                <w:szCs w:val="16"/>
                <w:lang w:val="es-CO" w:eastAsia="es-CO"/>
              </w:rPr>
              <w:br/>
              <w:t>* No se tiene un proceso formal para la eliminación de cuentas de usuario.</w:t>
            </w:r>
          </w:p>
        </w:tc>
        <w:tc>
          <w:tcPr>
            <w:tcW w:w="1275" w:type="dxa"/>
            <w:shd w:val="clear" w:color="000000" w:fill="E26B0A"/>
            <w:vAlign w:val="center"/>
            <w:hideMark/>
          </w:tcPr>
          <w:p w14:paraId="4CD1EA75"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70C0"/>
            <w:vAlign w:val="center"/>
            <w:hideMark/>
          </w:tcPr>
          <w:p w14:paraId="2C1C5EF3"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57735EF3"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000E85D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Formalizar políticas y procedimientos para la gestión de accesos a sistemas y servicios que incluyan: la creación, modificación, eliminación y revisión de dichos accesos.</w:t>
            </w:r>
          </w:p>
        </w:tc>
        <w:tc>
          <w:tcPr>
            <w:tcW w:w="1843" w:type="dxa"/>
          </w:tcPr>
          <w:p w14:paraId="483162B8"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1B30EBFF" w14:textId="77777777" w:rsidTr="004A6248">
        <w:trPr>
          <w:trHeight w:val="20"/>
        </w:trPr>
        <w:tc>
          <w:tcPr>
            <w:tcW w:w="546" w:type="dxa"/>
            <w:shd w:val="clear" w:color="auto" w:fill="auto"/>
            <w:vAlign w:val="center"/>
            <w:hideMark/>
          </w:tcPr>
          <w:p w14:paraId="3C62B6D9"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9.2.3</w:t>
            </w:r>
          </w:p>
        </w:tc>
        <w:tc>
          <w:tcPr>
            <w:tcW w:w="1156" w:type="dxa"/>
            <w:shd w:val="clear" w:color="auto" w:fill="auto"/>
            <w:vAlign w:val="center"/>
            <w:hideMark/>
          </w:tcPr>
          <w:p w14:paraId="320D722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Gestión de derechos de acceso privilegiado</w:t>
            </w:r>
          </w:p>
        </w:tc>
        <w:tc>
          <w:tcPr>
            <w:tcW w:w="2551" w:type="dxa"/>
            <w:shd w:val="clear" w:color="auto" w:fill="auto"/>
            <w:vAlign w:val="center"/>
            <w:hideMark/>
          </w:tcPr>
          <w:p w14:paraId="48E23643"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 restringir y controlar la asignación y uso de derechos de acceso privilegiado.</w:t>
            </w:r>
          </w:p>
        </w:tc>
        <w:tc>
          <w:tcPr>
            <w:tcW w:w="826" w:type="dxa"/>
            <w:shd w:val="clear" w:color="000000" w:fill="008000"/>
            <w:vAlign w:val="center"/>
            <w:hideMark/>
          </w:tcPr>
          <w:p w14:paraId="2948833B"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5DDF2E9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No existe procedimiento formal para modificación o eliminación de permisos.</w:t>
            </w:r>
            <w:r w:rsidRPr="00795864">
              <w:rPr>
                <w:rFonts w:asciiTheme="majorHAnsi" w:eastAsia="Times New Roman" w:hAnsiTheme="majorHAnsi" w:cstheme="majorHAnsi"/>
                <w:color w:val="000000"/>
                <w:sz w:val="16"/>
                <w:szCs w:val="16"/>
                <w:lang w:val="es-CO" w:eastAsia="es-CO"/>
              </w:rPr>
              <w:br/>
              <w:t>* No se encuentra documentada la creación o modificación de perfiles de administrador en servidores o sistemas de información.</w:t>
            </w:r>
            <w:r w:rsidRPr="00795864">
              <w:rPr>
                <w:rFonts w:asciiTheme="majorHAnsi" w:eastAsia="Times New Roman" w:hAnsiTheme="majorHAnsi" w:cstheme="majorHAnsi"/>
                <w:color w:val="000000"/>
                <w:sz w:val="16"/>
                <w:szCs w:val="16"/>
                <w:lang w:val="es-CO" w:eastAsia="es-CO"/>
              </w:rPr>
              <w:br/>
              <w:t xml:space="preserve"> </w:t>
            </w:r>
          </w:p>
        </w:tc>
        <w:tc>
          <w:tcPr>
            <w:tcW w:w="1275" w:type="dxa"/>
            <w:shd w:val="clear" w:color="000000" w:fill="FF0000"/>
            <w:vAlign w:val="center"/>
            <w:hideMark/>
          </w:tcPr>
          <w:p w14:paraId="560A8376"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NO</w:t>
            </w:r>
          </w:p>
        </w:tc>
        <w:tc>
          <w:tcPr>
            <w:tcW w:w="1276" w:type="dxa"/>
            <w:shd w:val="clear" w:color="000000" w:fill="FF0000"/>
            <w:vAlign w:val="center"/>
            <w:hideMark/>
          </w:tcPr>
          <w:p w14:paraId="6C621956"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Inexistente</w:t>
            </w:r>
          </w:p>
        </w:tc>
        <w:tc>
          <w:tcPr>
            <w:tcW w:w="851" w:type="dxa"/>
            <w:shd w:val="clear" w:color="auto" w:fill="auto"/>
            <w:vAlign w:val="center"/>
            <w:hideMark/>
          </w:tcPr>
          <w:p w14:paraId="0A72DF6C"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0%</w:t>
            </w:r>
          </w:p>
        </w:tc>
        <w:tc>
          <w:tcPr>
            <w:tcW w:w="3827" w:type="dxa"/>
            <w:shd w:val="clear" w:color="auto" w:fill="auto"/>
            <w:vAlign w:val="center"/>
            <w:hideMark/>
          </w:tcPr>
          <w:p w14:paraId="73F1EA5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Formalizar políticas y procedimientos para la gestión de accesos a sistemas y servicios, incluyendo cuentas de administrador</w:t>
            </w:r>
          </w:p>
        </w:tc>
        <w:tc>
          <w:tcPr>
            <w:tcW w:w="1843" w:type="dxa"/>
          </w:tcPr>
          <w:p w14:paraId="22B880C6"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37E0B2AF" w14:textId="77777777" w:rsidTr="004A6248">
        <w:trPr>
          <w:trHeight w:val="20"/>
        </w:trPr>
        <w:tc>
          <w:tcPr>
            <w:tcW w:w="546" w:type="dxa"/>
            <w:shd w:val="clear" w:color="auto" w:fill="auto"/>
            <w:vAlign w:val="center"/>
            <w:hideMark/>
          </w:tcPr>
          <w:p w14:paraId="3EDA54BA"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9.2.4</w:t>
            </w:r>
          </w:p>
        </w:tc>
        <w:tc>
          <w:tcPr>
            <w:tcW w:w="1156" w:type="dxa"/>
            <w:shd w:val="clear" w:color="auto" w:fill="auto"/>
            <w:vAlign w:val="center"/>
            <w:hideMark/>
          </w:tcPr>
          <w:p w14:paraId="58F13B2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Gestión de información de autenticación secreta de usuarios</w:t>
            </w:r>
          </w:p>
        </w:tc>
        <w:tc>
          <w:tcPr>
            <w:tcW w:w="2551" w:type="dxa"/>
            <w:shd w:val="clear" w:color="auto" w:fill="auto"/>
            <w:vAlign w:val="center"/>
            <w:hideMark/>
          </w:tcPr>
          <w:p w14:paraId="39777AB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 asignación de información de autenticación secreta se debe controlar por medio de un proceso de gestión formal.</w:t>
            </w:r>
          </w:p>
        </w:tc>
        <w:tc>
          <w:tcPr>
            <w:tcW w:w="826" w:type="dxa"/>
            <w:shd w:val="clear" w:color="000000" w:fill="008000"/>
            <w:vAlign w:val="center"/>
            <w:hideMark/>
          </w:tcPr>
          <w:p w14:paraId="37AAE099"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31771092" w14:textId="77777777" w:rsidR="004A6248" w:rsidRPr="00795864" w:rsidRDefault="004A6248" w:rsidP="000F099B">
            <w:pP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 Se asigna una contraseña temporal diferente por persona que debe cambiarse después del primer inicio de sesión. Se debe cambiar cada 3 meses.</w:t>
            </w:r>
            <w:r w:rsidRPr="00795864">
              <w:rPr>
                <w:rFonts w:asciiTheme="majorHAnsi" w:eastAsia="Times New Roman" w:hAnsiTheme="majorHAnsi" w:cstheme="majorHAnsi"/>
                <w:sz w:val="16"/>
                <w:szCs w:val="16"/>
                <w:lang w:val="es-CO" w:eastAsia="es-CO"/>
              </w:rPr>
              <w:br/>
              <w:t>* Cada dirección es administrador de los sistemas de información de su área, muchas de las cuales no cumplen con una política estándar de control de acceso</w:t>
            </w:r>
          </w:p>
        </w:tc>
        <w:tc>
          <w:tcPr>
            <w:tcW w:w="1275" w:type="dxa"/>
            <w:shd w:val="clear" w:color="000000" w:fill="E26B0A"/>
            <w:vAlign w:val="center"/>
            <w:hideMark/>
          </w:tcPr>
          <w:p w14:paraId="3FC3735A"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70C0"/>
            <w:vAlign w:val="center"/>
            <w:hideMark/>
          </w:tcPr>
          <w:p w14:paraId="482D1405"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0465D2DF"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51575A53"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Formalizar políticas y procedimientos para la gestión de accesos a sistemas y servicios que incluyan: la creación, modificación, eliminación y revisión de dichos accesos.</w:t>
            </w:r>
          </w:p>
        </w:tc>
        <w:tc>
          <w:tcPr>
            <w:tcW w:w="1843" w:type="dxa"/>
          </w:tcPr>
          <w:p w14:paraId="1F310D87"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3DCBA525" w14:textId="77777777" w:rsidTr="004A6248">
        <w:trPr>
          <w:trHeight w:val="20"/>
        </w:trPr>
        <w:tc>
          <w:tcPr>
            <w:tcW w:w="546" w:type="dxa"/>
            <w:shd w:val="clear" w:color="auto" w:fill="auto"/>
            <w:vAlign w:val="center"/>
            <w:hideMark/>
          </w:tcPr>
          <w:p w14:paraId="4233B7B8"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9.2.5</w:t>
            </w:r>
          </w:p>
        </w:tc>
        <w:tc>
          <w:tcPr>
            <w:tcW w:w="1156" w:type="dxa"/>
            <w:shd w:val="clear" w:color="auto" w:fill="auto"/>
            <w:vAlign w:val="center"/>
            <w:hideMark/>
          </w:tcPr>
          <w:p w14:paraId="551BE70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Revisión de los derechos de acceso de usuarios</w:t>
            </w:r>
          </w:p>
        </w:tc>
        <w:tc>
          <w:tcPr>
            <w:tcW w:w="2551" w:type="dxa"/>
            <w:shd w:val="clear" w:color="auto" w:fill="auto"/>
            <w:vAlign w:val="center"/>
            <w:hideMark/>
          </w:tcPr>
          <w:p w14:paraId="2A7A176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dueños de los activos deben revisar los derechos de acceso de los usuarios, a intervalos regulares.</w:t>
            </w:r>
          </w:p>
        </w:tc>
        <w:tc>
          <w:tcPr>
            <w:tcW w:w="826" w:type="dxa"/>
            <w:shd w:val="clear" w:color="000000" w:fill="008000"/>
            <w:vAlign w:val="center"/>
            <w:hideMark/>
          </w:tcPr>
          <w:p w14:paraId="28E0EF43"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5847A831" w14:textId="77777777" w:rsidR="004A6248" w:rsidRPr="00795864" w:rsidRDefault="004A6248" w:rsidP="000F099B">
            <w:pP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 Cada dirección es administrador de los sistemas de información de su área, muchas de las cuales no cumplen con una política estándar de control de acceso</w:t>
            </w:r>
            <w:r w:rsidRPr="00795864">
              <w:rPr>
                <w:rFonts w:asciiTheme="majorHAnsi" w:eastAsia="Times New Roman" w:hAnsiTheme="majorHAnsi" w:cstheme="majorHAnsi"/>
                <w:sz w:val="16"/>
                <w:szCs w:val="16"/>
                <w:lang w:val="es-CO" w:eastAsia="es-CO"/>
              </w:rPr>
              <w:br/>
              <w:t>* Una vez al año se revisan las cuentas de usuario que no están activas, pero no se encuentra formalizado dicho procedimiento.</w:t>
            </w:r>
            <w:r w:rsidRPr="00795864">
              <w:rPr>
                <w:rFonts w:asciiTheme="majorHAnsi" w:eastAsia="Times New Roman" w:hAnsiTheme="majorHAnsi" w:cstheme="majorHAnsi"/>
                <w:sz w:val="16"/>
                <w:szCs w:val="16"/>
                <w:lang w:val="es-CO" w:eastAsia="es-CO"/>
              </w:rPr>
              <w:br/>
              <w:t>* Existe un formato del sistema integrado de gestión para el registro del monitoreo y acceso a las plataformas, en el que se registra: usuarios y perfiles, periodo de validez, usuario de consulta, tipo de permiso (lectura y escritura).</w:t>
            </w:r>
          </w:p>
        </w:tc>
        <w:tc>
          <w:tcPr>
            <w:tcW w:w="1275" w:type="dxa"/>
            <w:shd w:val="clear" w:color="000000" w:fill="E26B0A"/>
            <w:vAlign w:val="center"/>
            <w:hideMark/>
          </w:tcPr>
          <w:p w14:paraId="500C4B3F"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FFFF00"/>
            <w:vAlign w:val="center"/>
            <w:hideMark/>
          </w:tcPr>
          <w:p w14:paraId="02AF9BDD"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Repetible</w:t>
            </w:r>
          </w:p>
        </w:tc>
        <w:tc>
          <w:tcPr>
            <w:tcW w:w="851" w:type="dxa"/>
            <w:shd w:val="clear" w:color="auto" w:fill="auto"/>
            <w:vAlign w:val="center"/>
            <w:hideMark/>
          </w:tcPr>
          <w:p w14:paraId="25FB16F2"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40%</w:t>
            </w:r>
          </w:p>
        </w:tc>
        <w:tc>
          <w:tcPr>
            <w:tcW w:w="3827" w:type="dxa"/>
            <w:shd w:val="clear" w:color="auto" w:fill="auto"/>
            <w:vAlign w:val="center"/>
            <w:hideMark/>
          </w:tcPr>
          <w:p w14:paraId="2CAC1B7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Formalizar políticas y procedimientos para la gestión de accesos a sistemas y servicios que incluyan: la creación, modificación, eliminación y revisión de dichos accesos.</w:t>
            </w:r>
          </w:p>
        </w:tc>
        <w:tc>
          <w:tcPr>
            <w:tcW w:w="1843" w:type="dxa"/>
          </w:tcPr>
          <w:p w14:paraId="61A6244E"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3EF14444" w14:textId="77777777" w:rsidTr="004A6248">
        <w:trPr>
          <w:trHeight w:val="20"/>
        </w:trPr>
        <w:tc>
          <w:tcPr>
            <w:tcW w:w="546" w:type="dxa"/>
            <w:shd w:val="clear" w:color="auto" w:fill="auto"/>
            <w:vAlign w:val="center"/>
            <w:hideMark/>
          </w:tcPr>
          <w:p w14:paraId="488B49FE"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9.2.6</w:t>
            </w:r>
          </w:p>
        </w:tc>
        <w:tc>
          <w:tcPr>
            <w:tcW w:w="1156" w:type="dxa"/>
            <w:shd w:val="clear" w:color="auto" w:fill="auto"/>
            <w:vAlign w:val="center"/>
            <w:hideMark/>
          </w:tcPr>
          <w:p w14:paraId="22A26F0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Cancelación o ajuste de los derechos de acceso</w:t>
            </w:r>
          </w:p>
        </w:tc>
        <w:tc>
          <w:tcPr>
            <w:tcW w:w="2551" w:type="dxa"/>
            <w:shd w:val="clear" w:color="auto" w:fill="auto"/>
            <w:vAlign w:val="center"/>
            <w:hideMark/>
          </w:tcPr>
          <w:p w14:paraId="4C8A9D56"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derechos de acceso de todos los empleados y de usuarios externos a la información y a las instalaciones de procesamiento de información se deben cancelar al terminar su empleo, contrato o acuerdo, o se deben ajustar cuando se hagan cambios.</w:t>
            </w:r>
          </w:p>
        </w:tc>
        <w:tc>
          <w:tcPr>
            <w:tcW w:w="826" w:type="dxa"/>
            <w:shd w:val="clear" w:color="000000" w:fill="008000"/>
            <w:vAlign w:val="center"/>
            <w:hideMark/>
          </w:tcPr>
          <w:p w14:paraId="7CC2C9C0"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57C2BEF6" w14:textId="77777777" w:rsidR="004A6248" w:rsidRPr="00795864" w:rsidRDefault="004A6248" w:rsidP="000F099B">
            <w:pP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 Las cuentas de contratistas se bloquean automáticamente en el dominio porque tienen configurada la fecha de vencimiento del contrato.</w:t>
            </w:r>
            <w:r w:rsidRPr="00795864">
              <w:rPr>
                <w:rFonts w:asciiTheme="majorHAnsi" w:eastAsia="Times New Roman" w:hAnsiTheme="majorHAnsi" w:cstheme="majorHAnsi"/>
                <w:sz w:val="16"/>
                <w:szCs w:val="16"/>
                <w:lang w:val="es-CO" w:eastAsia="es-CO"/>
              </w:rPr>
              <w:br/>
              <w:t>* Cuando un funcionario sale a vacaciones o de permiso se notifica a la OTIC y se procede con la desactivación de la cuenta de usuario.</w:t>
            </w:r>
            <w:r w:rsidRPr="00795864">
              <w:rPr>
                <w:rFonts w:asciiTheme="majorHAnsi" w:eastAsia="Times New Roman" w:hAnsiTheme="majorHAnsi" w:cstheme="majorHAnsi"/>
                <w:sz w:val="16"/>
                <w:szCs w:val="16"/>
                <w:lang w:val="es-CO" w:eastAsia="es-CO"/>
              </w:rPr>
              <w:br/>
              <w:t>* Una vez al año se revisan las cuentas de usuario que no están activas, pero no se encuentra formalizado dicho procedimiento.</w:t>
            </w:r>
          </w:p>
        </w:tc>
        <w:tc>
          <w:tcPr>
            <w:tcW w:w="1275" w:type="dxa"/>
            <w:shd w:val="clear" w:color="000000" w:fill="E26B0A"/>
            <w:vAlign w:val="center"/>
            <w:hideMark/>
          </w:tcPr>
          <w:p w14:paraId="6524D914"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70C0"/>
            <w:vAlign w:val="center"/>
            <w:hideMark/>
          </w:tcPr>
          <w:p w14:paraId="51A8BBD1"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513A1BD0"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3D49E111"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Formalizar políticas y procedimientos para la gestión de accesos a sistemas y servicios que incluyan: la creación, modificación, eliminación y revisión de dichos accesos.</w:t>
            </w:r>
          </w:p>
        </w:tc>
        <w:tc>
          <w:tcPr>
            <w:tcW w:w="1843" w:type="dxa"/>
          </w:tcPr>
          <w:p w14:paraId="564C0F3C"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2AD2F509" w14:textId="77777777" w:rsidTr="004A6248">
        <w:trPr>
          <w:trHeight w:val="20"/>
        </w:trPr>
        <w:tc>
          <w:tcPr>
            <w:tcW w:w="546" w:type="dxa"/>
            <w:shd w:val="clear" w:color="000000" w:fill="538DD5"/>
            <w:vAlign w:val="center"/>
            <w:hideMark/>
          </w:tcPr>
          <w:p w14:paraId="48D4CBE1"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9.3</w:t>
            </w:r>
          </w:p>
        </w:tc>
        <w:tc>
          <w:tcPr>
            <w:tcW w:w="10653" w:type="dxa"/>
            <w:gridSpan w:val="6"/>
            <w:shd w:val="clear" w:color="000000" w:fill="538DD5"/>
            <w:vAlign w:val="center"/>
            <w:hideMark/>
          </w:tcPr>
          <w:p w14:paraId="269E5526"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Responsabilidades de los usuarios</w:t>
            </w:r>
          </w:p>
        </w:tc>
        <w:tc>
          <w:tcPr>
            <w:tcW w:w="851" w:type="dxa"/>
            <w:shd w:val="clear" w:color="000000" w:fill="538DD5"/>
            <w:vAlign w:val="center"/>
            <w:hideMark/>
          </w:tcPr>
          <w:p w14:paraId="2335678D"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80%</w:t>
            </w:r>
          </w:p>
        </w:tc>
        <w:tc>
          <w:tcPr>
            <w:tcW w:w="3827" w:type="dxa"/>
            <w:shd w:val="clear" w:color="000000" w:fill="538DD5"/>
            <w:vAlign w:val="center"/>
            <w:hideMark/>
          </w:tcPr>
          <w:p w14:paraId="52D2506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69638ADB"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7BC3A951" w14:textId="77777777" w:rsidTr="004A6248">
        <w:trPr>
          <w:trHeight w:val="20"/>
        </w:trPr>
        <w:tc>
          <w:tcPr>
            <w:tcW w:w="546" w:type="dxa"/>
            <w:shd w:val="clear" w:color="000000" w:fill="538DD5"/>
            <w:vAlign w:val="center"/>
            <w:hideMark/>
          </w:tcPr>
          <w:p w14:paraId="7A0F2F4F"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lastRenderedPageBreak/>
              <w:t> </w:t>
            </w:r>
          </w:p>
        </w:tc>
        <w:tc>
          <w:tcPr>
            <w:tcW w:w="10653" w:type="dxa"/>
            <w:gridSpan w:val="6"/>
            <w:shd w:val="clear" w:color="000000" w:fill="538DD5"/>
            <w:vAlign w:val="center"/>
            <w:hideMark/>
          </w:tcPr>
          <w:p w14:paraId="3396F01F"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Hacer que los usuarios se responsabilicen por salvaguardar su información de autenticación.</w:t>
            </w:r>
          </w:p>
        </w:tc>
        <w:tc>
          <w:tcPr>
            <w:tcW w:w="851" w:type="dxa"/>
            <w:shd w:val="clear" w:color="000000" w:fill="538DD5"/>
            <w:vAlign w:val="center"/>
            <w:hideMark/>
          </w:tcPr>
          <w:p w14:paraId="4086AA02"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3827" w:type="dxa"/>
            <w:shd w:val="clear" w:color="000000" w:fill="538DD5"/>
            <w:vAlign w:val="center"/>
            <w:hideMark/>
          </w:tcPr>
          <w:p w14:paraId="0934D2EA"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4A8C19B9"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1CA4B3F5" w14:textId="77777777" w:rsidTr="004A6248">
        <w:trPr>
          <w:trHeight w:val="20"/>
        </w:trPr>
        <w:tc>
          <w:tcPr>
            <w:tcW w:w="546" w:type="dxa"/>
            <w:shd w:val="clear" w:color="auto" w:fill="auto"/>
            <w:vAlign w:val="center"/>
            <w:hideMark/>
          </w:tcPr>
          <w:p w14:paraId="1C4383D6"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9.3.1</w:t>
            </w:r>
          </w:p>
        </w:tc>
        <w:tc>
          <w:tcPr>
            <w:tcW w:w="1156" w:type="dxa"/>
            <w:shd w:val="clear" w:color="auto" w:fill="auto"/>
            <w:vAlign w:val="center"/>
            <w:hideMark/>
          </w:tcPr>
          <w:p w14:paraId="65256283"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Uso de información de autenticación secreta</w:t>
            </w:r>
          </w:p>
        </w:tc>
        <w:tc>
          <w:tcPr>
            <w:tcW w:w="2551" w:type="dxa"/>
            <w:shd w:val="clear" w:color="auto" w:fill="auto"/>
            <w:vAlign w:val="center"/>
            <w:hideMark/>
          </w:tcPr>
          <w:p w14:paraId="66411726"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 exigir a los usuarios que cumplan las prácticas de la organización en el uso de información de autenticación secreta.</w:t>
            </w:r>
          </w:p>
        </w:tc>
        <w:tc>
          <w:tcPr>
            <w:tcW w:w="826" w:type="dxa"/>
            <w:shd w:val="clear" w:color="000000" w:fill="008000"/>
            <w:vAlign w:val="center"/>
            <w:hideMark/>
          </w:tcPr>
          <w:p w14:paraId="6A220BA8"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372619BA" w14:textId="77777777" w:rsidR="004A6248" w:rsidRPr="00795864" w:rsidRDefault="004A6248" w:rsidP="000F099B">
            <w:pP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 Las contraseñas expiran cada 3 meses, es alfanumérica de 10 o más dígitos. no es mandatorio el uso de mayúscula, minúscula, caracteres especiales, no recuerda histórico</w:t>
            </w:r>
            <w:r w:rsidRPr="00795864">
              <w:rPr>
                <w:rFonts w:asciiTheme="majorHAnsi" w:eastAsia="Times New Roman" w:hAnsiTheme="majorHAnsi" w:cstheme="majorHAnsi"/>
                <w:sz w:val="16"/>
                <w:szCs w:val="16"/>
                <w:lang w:val="es-CO" w:eastAsia="es-CO"/>
              </w:rPr>
              <w:br/>
              <w:t>* Se asigna una contraseña temporal diferente por persona que debe cambiarse después del primer inicio de sesión. Se debe cambiar cada 3 meses.</w:t>
            </w:r>
            <w:r w:rsidRPr="00795864">
              <w:rPr>
                <w:rFonts w:asciiTheme="majorHAnsi" w:eastAsia="Times New Roman" w:hAnsiTheme="majorHAnsi" w:cstheme="majorHAnsi"/>
                <w:sz w:val="16"/>
                <w:szCs w:val="16"/>
                <w:lang w:val="es-CO" w:eastAsia="es-CO"/>
              </w:rPr>
              <w:br/>
              <w:t xml:space="preserve">* Existen cuentas asociadas a servicios que se encuentran en la OU </w:t>
            </w:r>
            <w:proofErr w:type="spellStart"/>
            <w:r w:rsidRPr="00795864">
              <w:rPr>
                <w:rFonts w:asciiTheme="majorHAnsi" w:eastAsia="Times New Roman" w:hAnsiTheme="majorHAnsi" w:cstheme="majorHAnsi"/>
                <w:sz w:val="16"/>
                <w:szCs w:val="16"/>
                <w:lang w:val="es-CO" w:eastAsia="es-CO"/>
              </w:rPr>
              <w:t>management</w:t>
            </w:r>
            <w:proofErr w:type="spellEnd"/>
            <w:r w:rsidRPr="00795864">
              <w:rPr>
                <w:rFonts w:asciiTheme="majorHAnsi" w:eastAsia="Times New Roman" w:hAnsiTheme="majorHAnsi" w:cstheme="majorHAnsi"/>
                <w:sz w:val="16"/>
                <w:szCs w:val="16"/>
                <w:lang w:val="es-CO" w:eastAsia="es-CO"/>
              </w:rPr>
              <w:t xml:space="preserve"> </w:t>
            </w:r>
            <w:proofErr w:type="spellStart"/>
            <w:r w:rsidRPr="00795864">
              <w:rPr>
                <w:rFonts w:asciiTheme="majorHAnsi" w:eastAsia="Times New Roman" w:hAnsiTheme="majorHAnsi" w:cstheme="majorHAnsi"/>
                <w:sz w:val="16"/>
                <w:szCs w:val="16"/>
                <w:lang w:val="es-CO" w:eastAsia="es-CO"/>
              </w:rPr>
              <w:t>service</w:t>
            </w:r>
            <w:proofErr w:type="spellEnd"/>
            <w:r w:rsidRPr="00795864">
              <w:rPr>
                <w:rFonts w:asciiTheme="majorHAnsi" w:eastAsia="Times New Roman" w:hAnsiTheme="majorHAnsi" w:cstheme="majorHAnsi"/>
                <w:sz w:val="16"/>
                <w:szCs w:val="16"/>
                <w:lang w:val="es-CO" w:eastAsia="es-CO"/>
              </w:rPr>
              <w:t xml:space="preserve"> </w:t>
            </w:r>
            <w:proofErr w:type="spellStart"/>
            <w:r w:rsidRPr="00795864">
              <w:rPr>
                <w:rFonts w:asciiTheme="majorHAnsi" w:eastAsia="Times New Roman" w:hAnsiTheme="majorHAnsi" w:cstheme="majorHAnsi"/>
                <w:sz w:val="16"/>
                <w:szCs w:val="16"/>
                <w:lang w:val="es-CO" w:eastAsia="es-CO"/>
              </w:rPr>
              <w:t>account</w:t>
            </w:r>
            <w:proofErr w:type="spellEnd"/>
            <w:r w:rsidRPr="00795864">
              <w:rPr>
                <w:rFonts w:asciiTheme="majorHAnsi" w:eastAsia="Times New Roman" w:hAnsiTheme="majorHAnsi" w:cstheme="majorHAnsi"/>
                <w:sz w:val="16"/>
                <w:szCs w:val="16"/>
                <w:lang w:val="es-CO" w:eastAsia="es-CO"/>
              </w:rPr>
              <w:t>, que nunca expiran.</w:t>
            </w:r>
            <w:r w:rsidRPr="00795864">
              <w:rPr>
                <w:rFonts w:asciiTheme="majorHAnsi" w:eastAsia="Times New Roman" w:hAnsiTheme="majorHAnsi" w:cstheme="majorHAnsi"/>
                <w:sz w:val="16"/>
                <w:szCs w:val="16"/>
                <w:lang w:val="es-CO" w:eastAsia="es-CO"/>
              </w:rPr>
              <w:br/>
              <w:t>* Las cuentas de usuarios administradores al igual que las de los usuarios genéricos cambian cada 3 meses.</w:t>
            </w:r>
            <w:r w:rsidRPr="00795864">
              <w:rPr>
                <w:rFonts w:asciiTheme="majorHAnsi" w:eastAsia="Times New Roman" w:hAnsiTheme="majorHAnsi" w:cstheme="majorHAnsi"/>
                <w:sz w:val="16"/>
                <w:szCs w:val="16"/>
                <w:lang w:val="es-CO" w:eastAsia="es-CO"/>
              </w:rPr>
              <w:br/>
              <w:t>* Existen cuentas compartidas.</w:t>
            </w:r>
          </w:p>
        </w:tc>
        <w:tc>
          <w:tcPr>
            <w:tcW w:w="1275" w:type="dxa"/>
            <w:shd w:val="clear" w:color="000000" w:fill="E26B0A"/>
            <w:vAlign w:val="center"/>
            <w:hideMark/>
          </w:tcPr>
          <w:p w14:paraId="4BB5CB69"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70C0"/>
            <w:vAlign w:val="center"/>
            <w:hideMark/>
          </w:tcPr>
          <w:p w14:paraId="184968FE"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534D96B0"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629AC38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Formalizar políticas de manejo de contraseñas</w:t>
            </w:r>
          </w:p>
        </w:tc>
        <w:tc>
          <w:tcPr>
            <w:tcW w:w="1843" w:type="dxa"/>
          </w:tcPr>
          <w:p w14:paraId="664C6AA9"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58D698BA" w14:textId="77777777" w:rsidTr="004A6248">
        <w:trPr>
          <w:trHeight w:val="20"/>
        </w:trPr>
        <w:tc>
          <w:tcPr>
            <w:tcW w:w="546" w:type="dxa"/>
            <w:shd w:val="clear" w:color="000000" w:fill="538DD5"/>
            <w:vAlign w:val="center"/>
            <w:hideMark/>
          </w:tcPr>
          <w:p w14:paraId="75987A51"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9.4</w:t>
            </w:r>
          </w:p>
        </w:tc>
        <w:tc>
          <w:tcPr>
            <w:tcW w:w="10653" w:type="dxa"/>
            <w:gridSpan w:val="6"/>
            <w:shd w:val="clear" w:color="000000" w:fill="538DD5"/>
            <w:vAlign w:val="center"/>
            <w:hideMark/>
          </w:tcPr>
          <w:p w14:paraId="75997E1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Control de acceso a sistemas y aplicaciones</w:t>
            </w:r>
          </w:p>
        </w:tc>
        <w:tc>
          <w:tcPr>
            <w:tcW w:w="851" w:type="dxa"/>
            <w:shd w:val="clear" w:color="000000" w:fill="538DD5"/>
            <w:vAlign w:val="center"/>
            <w:hideMark/>
          </w:tcPr>
          <w:p w14:paraId="1C87448C"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48%</w:t>
            </w:r>
          </w:p>
        </w:tc>
        <w:tc>
          <w:tcPr>
            <w:tcW w:w="3827" w:type="dxa"/>
            <w:shd w:val="clear" w:color="000000" w:fill="538DD5"/>
            <w:vAlign w:val="center"/>
            <w:hideMark/>
          </w:tcPr>
          <w:p w14:paraId="0C5D8302"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7A779686"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6041CF45" w14:textId="77777777" w:rsidTr="004A6248">
        <w:trPr>
          <w:trHeight w:val="20"/>
        </w:trPr>
        <w:tc>
          <w:tcPr>
            <w:tcW w:w="546" w:type="dxa"/>
            <w:shd w:val="clear" w:color="000000" w:fill="538DD5"/>
            <w:vAlign w:val="center"/>
            <w:hideMark/>
          </w:tcPr>
          <w:p w14:paraId="3BADEFC3"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1AD3DDAA"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Prevenir el acceso no autorizado a los sistemas y aplicaciones.</w:t>
            </w:r>
          </w:p>
        </w:tc>
        <w:tc>
          <w:tcPr>
            <w:tcW w:w="851" w:type="dxa"/>
            <w:shd w:val="clear" w:color="000000" w:fill="538DD5"/>
            <w:vAlign w:val="center"/>
            <w:hideMark/>
          </w:tcPr>
          <w:p w14:paraId="4CEB83B8"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3827" w:type="dxa"/>
            <w:shd w:val="clear" w:color="000000" w:fill="538DD5"/>
            <w:vAlign w:val="center"/>
            <w:hideMark/>
          </w:tcPr>
          <w:p w14:paraId="02291632"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7D45224D"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5DCA39BE" w14:textId="77777777" w:rsidTr="004A6248">
        <w:trPr>
          <w:trHeight w:val="20"/>
        </w:trPr>
        <w:tc>
          <w:tcPr>
            <w:tcW w:w="546" w:type="dxa"/>
            <w:shd w:val="clear" w:color="auto" w:fill="auto"/>
            <w:vAlign w:val="center"/>
            <w:hideMark/>
          </w:tcPr>
          <w:p w14:paraId="57B97F2E"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9.4.1</w:t>
            </w:r>
          </w:p>
        </w:tc>
        <w:tc>
          <w:tcPr>
            <w:tcW w:w="1156" w:type="dxa"/>
            <w:shd w:val="clear" w:color="auto" w:fill="auto"/>
            <w:vAlign w:val="center"/>
            <w:hideMark/>
          </w:tcPr>
          <w:p w14:paraId="0250DDE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Restricción de acceso a información</w:t>
            </w:r>
          </w:p>
        </w:tc>
        <w:tc>
          <w:tcPr>
            <w:tcW w:w="2551" w:type="dxa"/>
            <w:shd w:val="clear" w:color="auto" w:fill="auto"/>
            <w:vAlign w:val="center"/>
            <w:hideMark/>
          </w:tcPr>
          <w:p w14:paraId="735CD63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El acceso a la información y a las funciones de los sistemas de las aplicaciones se debe restringir de acuerdo con la política de control de acceso.</w:t>
            </w:r>
          </w:p>
        </w:tc>
        <w:tc>
          <w:tcPr>
            <w:tcW w:w="826" w:type="dxa"/>
            <w:shd w:val="clear" w:color="000000" w:fill="008000"/>
            <w:vAlign w:val="center"/>
            <w:hideMark/>
          </w:tcPr>
          <w:p w14:paraId="4B9378F1"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7393887E" w14:textId="77777777" w:rsidR="004A6248" w:rsidRPr="00795864" w:rsidRDefault="004A6248" w:rsidP="000F099B">
            <w:pP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 Cada dirección es administrador de los sistemas de información de su área, muchas de las cuales no cumplen con una política estándar de control de acceso.</w:t>
            </w:r>
            <w:r w:rsidRPr="00795864">
              <w:rPr>
                <w:rFonts w:asciiTheme="majorHAnsi" w:eastAsia="Times New Roman" w:hAnsiTheme="majorHAnsi" w:cstheme="majorHAnsi"/>
                <w:sz w:val="16"/>
                <w:szCs w:val="16"/>
                <w:lang w:val="es-CO" w:eastAsia="es-CO"/>
              </w:rPr>
              <w:br/>
              <w:t>* No se tiene una política de control de acceso.</w:t>
            </w:r>
          </w:p>
        </w:tc>
        <w:tc>
          <w:tcPr>
            <w:tcW w:w="1275" w:type="dxa"/>
            <w:shd w:val="clear" w:color="000000" w:fill="E26B0A"/>
            <w:vAlign w:val="center"/>
            <w:hideMark/>
          </w:tcPr>
          <w:p w14:paraId="7DE84CE5"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E26B0A"/>
            <w:vAlign w:val="center"/>
            <w:hideMark/>
          </w:tcPr>
          <w:p w14:paraId="53DAE899"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Inicial</w:t>
            </w:r>
          </w:p>
        </w:tc>
        <w:tc>
          <w:tcPr>
            <w:tcW w:w="851" w:type="dxa"/>
            <w:shd w:val="clear" w:color="auto" w:fill="auto"/>
            <w:vAlign w:val="center"/>
            <w:hideMark/>
          </w:tcPr>
          <w:p w14:paraId="101A15B8"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20%</w:t>
            </w:r>
          </w:p>
        </w:tc>
        <w:tc>
          <w:tcPr>
            <w:tcW w:w="3827" w:type="dxa"/>
            <w:shd w:val="clear" w:color="auto" w:fill="auto"/>
            <w:vAlign w:val="center"/>
            <w:hideMark/>
          </w:tcPr>
          <w:p w14:paraId="53BFE90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Formalizar políticas y procedimientos para la gestión de accesos a sistemas y servicios que incluyan: la creación, modificación, eliminación y revisión de dichos accesos.</w:t>
            </w:r>
          </w:p>
        </w:tc>
        <w:tc>
          <w:tcPr>
            <w:tcW w:w="1843" w:type="dxa"/>
          </w:tcPr>
          <w:p w14:paraId="045C237E"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4123E5C1" w14:textId="77777777" w:rsidTr="004A6248">
        <w:trPr>
          <w:trHeight w:val="20"/>
        </w:trPr>
        <w:tc>
          <w:tcPr>
            <w:tcW w:w="546" w:type="dxa"/>
            <w:shd w:val="clear" w:color="auto" w:fill="auto"/>
            <w:vAlign w:val="center"/>
            <w:hideMark/>
          </w:tcPr>
          <w:p w14:paraId="321604DE"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9.4.2</w:t>
            </w:r>
          </w:p>
        </w:tc>
        <w:tc>
          <w:tcPr>
            <w:tcW w:w="1156" w:type="dxa"/>
            <w:shd w:val="clear" w:color="auto" w:fill="auto"/>
            <w:vAlign w:val="center"/>
            <w:hideMark/>
          </w:tcPr>
          <w:p w14:paraId="11C5802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Procedimiento de conexión segura</w:t>
            </w:r>
          </w:p>
        </w:tc>
        <w:tc>
          <w:tcPr>
            <w:tcW w:w="2551" w:type="dxa"/>
            <w:shd w:val="clear" w:color="auto" w:fill="auto"/>
            <w:vAlign w:val="center"/>
            <w:hideMark/>
          </w:tcPr>
          <w:p w14:paraId="60D156C4"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Cuando lo requiere la política de control de acceso, el acceso a sistemas y aplicaciones se debe controlar mediante un proceso de conexión segura.</w:t>
            </w:r>
          </w:p>
        </w:tc>
        <w:tc>
          <w:tcPr>
            <w:tcW w:w="826" w:type="dxa"/>
            <w:shd w:val="clear" w:color="000000" w:fill="008000"/>
            <w:vAlign w:val="center"/>
            <w:hideMark/>
          </w:tcPr>
          <w:p w14:paraId="59FA82CE"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7A78FE5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No se está aplicando este control actualmente.</w:t>
            </w:r>
          </w:p>
        </w:tc>
        <w:tc>
          <w:tcPr>
            <w:tcW w:w="1275" w:type="dxa"/>
            <w:shd w:val="clear" w:color="000000" w:fill="FF0000"/>
            <w:vAlign w:val="center"/>
            <w:hideMark/>
          </w:tcPr>
          <w:p w14:paraId="0EC31459"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NO</w:t>
            </w:r>
          </w:p>
        </w:tc>
        <w:tc>
          <w:tcPr>
            <w:tcW w:w="1276" w:type="dxa"/>
            <w:shd w:val="clear" w:color="000000" w:fill="FF0000"/>
            <w:vAlign w:val="center"/>
            <w:hideMark/>
          </w:tcPr>
          <w:p w14:paraId="6CF056CC"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Inexistente</w:t>
            </w:r>
          </w:p>
        </w:tc>
        <w:tc>
          <w:tcPr>
            <w:tcW w:w="851" w:type="dxa"/>
            <w:shd w:val="clear" w:color="auto" w:fill="auto"/>
            <w:vAlign w:val="center"/>
            <w:hideMark/>
          </w:tcPr>
          <w:p w14:paraId="5B3EC05A"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0%</w:t>
            </w:r>
          </w:p>
        </w:tc>
        <w:tc>
          <w:tcPr>
            <w:tcW w:w="3827" w:type="dxa"/>
            <w:shd w:val="clear" w:color="auto" w:fill="auto"/>
            <w:vAlign w:val="center"/>
            <w:hideMark/>
          </w:tcPr>
          <w:p w14:paraId="11661A6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Garantizar conexiones seguras a los sistemas y aplicaciones</w:t>
            </w:r>
          </w:p>
        </w:tc>
        <w:tc>
          <w:tcPr>
            <w:tcW w:w="1843" w:type="dxa"/>
          </w:tcPr>
          <w:p w14:paraId="1510D0B8"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2EC11C74" w14:textId="77777777" w:rsidTr="004A6248">
        <w:trPr>
          <w:trHeight w:val="20"/>
        </w:trPr>
        <w:tc>
          <w:tcPr>
            <w:tcW w:w="546" w:type="dxa"/>
            <w:shd w:val="clear" w:color="auto" w:fill="auto"/>
            <w:vAlign w:val="center"/>
            <w:hideMark/>
          </w:tcPr>
          <w:p w14:paraId="1931FED3"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9.4.3</w:t>
            </w:r>
          </w:p>
        </w:tc>
        <w:tc>
          <w:tcPr>
            <w:tcW w:w="1156" w:type="dxa"/>
            <w:shd w:val="clear" w:color="auto" w:fill="auto"/>
            <w:vAlign w:val="center"/>
            <w:hideMark/>
          </w:tcPr>
          <w:p w14:paraId="2E0992B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Sistema de gestión de contraseñas</w:t>
            </w:r>
          </w:p>
        </w:tc>
        <w:tc>
          <w:tcPr>
            <w:tcW w:w="2551" w:type="dxa"/>
            <w:shd w:val="clear" w:color="auto" w:fill="auto"/>
            <w:vAlign w:val="center"/>
            <w:hideMark/>
          </w:tcPr>
          <w:p w14:paraId="404F04F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sistemas de gestión de contraseñas deben ser interactivos y deben asegurar la calidad de las contraseñas.</w:t>
            </w:r>
          </w:p>
        </w:tc>
        <w:tc>
          <w:tcPr>
            <w:tcW w:w="826" w:type="dxa"/>
            <w:shd w:val="clear" w:color="000000" w:fill="008000"/>
            <w:vAlign w:val="center"/>
            <w:hideMark/>
          </w:tcPr>
          <w:p w14:paraId="327E93A8"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3CF36DA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No se exigen contraseñas fuertes</w:t>
            </w:r>
            <w:r w:rsidRPr="00795864">
              <w:rPr>
                <w:rFonts w:asciiTheme="majorHAnsi" w:eastAsia="Times New Roman" w:hAnsiTheme="majorHAnsi" w:cstheme="majorHAnsi"/>
                <w:color w:val="000000"/>
                <w:sz w:val="16"/>
                <w:szCs w:val="16"/>
                <w:lang w:val="es-CO" w:eastAsia="es-CO"/>
              </w:rPr>
              <w:br/>
              <w:t>* Las contraseñas expiran cada 3 meses, es alfanumérica de 10 o más dígitos. no es mandatorio el uso de mayúscula, minúscula, caracteres especiales, no recuerda histórico</w:t>
            </w:r>
            <w:r w:rsidRPr="00795864">
              <w:rPr>
                <w:rFonts w:asciiTheme="majorHAnsi" w:eastAsia="Times New Roman" w:hAnsiTheme="majorHAnsi" w:cstheme="majorHAnsi"/>
                <w:color w:val="000000"/>
                <w:sz w:val="16"/>
                <w:szCs w:val="16"/>
                <w:lang w:val="es-CO" w:eastAsia="es-CO"/>
              </w:rPr>
              <w:br/>
              <w:t>* Se asigna una contraseña temporal diferente por persona que debe cambiarse después del primer inicio de sesión. Se debe cambiar cada 3 meses.</w:t>
            </w:r>
            <w:r w:rsidRPr="00795864">
              <w:rPr>
                <w:rFonts w:asciiTheme="majorHAnsi" w:eastAsia="Times New Roman" w:hAnsiTheme="majorHAnsi" w:cstheme="majorHAnsi"/>
                <w:color w:val="000000"/>
                <w:sz w:val="16"/>
                <w:szCs w:val="16"/>
                <w:lang w:val="es-CO" w:eastAsia="es-CO"/>
              </w:rPr>
              <w:br/>
              <w:t>* Cada dirección es administrador de los sistemas de información de su área, muchas de las cuales no cumplen con una política estándar de control de acceso</w:t>
            </w:r>
            <w:r w:rsidRPr="00795864">
              <w:rPr>
                <w:rFonts w:asciiTheme="majorHAnsi" w:eastAsia="Times New Roman" w:hAnsiTheme="majorHAnsi" w:cstheme="majorHAnsi"/>
                <w:color w:val="000000"/>
                <w:sz w:val="16"/>
                <w:szCs w:val="16"/>
                <w:lang w:val="es-CO" w:eastAsia="es-CO"/>
              </w:rPr>
              <w:br/>
              <w:t xml:space="preserve">* Algunos sistemas como Enterprise, SISDOC, planes de mejoramiento, PQRSD, Intranet y certificaciones laborales en línea se encuentran </w:t>
            </w:r>
            <w:r w:rsidRPr="00795864">
              <w:rPr>
                <w:rFonts w:asciiTheme="majorHAnsi" w:eastAsia="Times New Roman" w:hAnsiTheme="majorHAnsi" w:cstheme="majorHAnsi"/>
                <w:color w:val="000000"/>
                <w:sz w:val="16"/>
                <w:szCs w:val="16"/>
                <w:lang w:val="es-CO" w:eastAsia="es-CO"/>
              </w:rPr>
              <w:lastRenderedPageBreak/>
              <w:t>unidos al dominio.</w:t>
            </w:r>
          </w:p>
        </w:tc>
        <w:tc>
          <w:tcPr>
            <w:tcW w:w="1275" w:type="dxa"/>
            <w:shd w:val="clear" w:color="000000" w:fill="E26B0A"/>
            <w:vAlign w:val="center"/>
            <w:hideMark/>
          </w:tcPr>
          <w:p w14:paraId="61C23612"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lastRenderedPageBreak/>
              <w:t>PARCIAL</w:t>
            </w:r>
          </w:p>
        </w:tc>
        <w:tc>
          <w:tcPr>
            <w:tcW w:w="1276" w:type="dxa"/>
            <w:shd w:val="clear" w:color="000000" w:fill="00B0F0"/>
            <w:vAlign w:val="center"/>
            <w:hideMark/>
          </w:tcPr>
          <w:p w14:paraId="72A1364A"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Definido</w:t>
            </w:r>
          </w:p>
        </w:tc>
        <w:tc>
          <w:tcPr>
            <w:tcW w:w="851" w:type="dxa"/>
            <w:shd w:val="clear" w:color="auto" w:fill="auto"/>
            <w:vAlign w:val="center"/>
            <w:hideMark/>
          </w:tcPr>
          <w:p w14:paraId="2DACA859"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60%</w:t>
            </w:r>
          </w:p>
        </w:tc>
        <w:tc>
          <w:tcPr>
            <w:tcW w:w="3827" w:type="dxa"/>
            <w:shd w:val="clear" w:color="auto" w:fill="auto"/>
            <w:vAlign w:val="center"/>
            <w:hideMark/>
          </w:tcPr>
          <w:p w14:paraId="53C334B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Formalizar políticas de manejo de contraseñas</w:t>
            </w:r>
          </w:p>
        </w:tc>
        <w:tc>
          <w:tcPr>
            <w:tcW w:w="1843" w:type="dxa"/>
          </w:tcPr>
          <w:p w14:paraId="02CA879C"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429B8C5F" w14:textId="77777777" w:rsidTr="004A6248">
        <w:trPr>
          <w:trHeight w:val="20"/>
        </w:trPr>
        <w:tc>
          <w:tcPr>
            <w:tcW w:w="546" w:type="dxa"/>
            <w:shd w:val="clear" w:color="auto" w:fill="auto"/>
            <w:vAlign w:val="center"/>
            <w:hideMark/>
          </w:tcPr>
          <w:p w14:paraId="416D4B23"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9.4.4</w:t>
            </w:r>
          </w:p>
        </w:tc>
        <w:tc>
          <w:tcPr>
            <w:tcW w:w="1156" w:type="dxa"/>
            <w:shd w:val="clear" w:color="auto" w:fill="auto"/>
            <w:vAlign w:val="center"/>
            <w:hideMark/>
          </w:tcPr>
          <w:p w14:paraId="18E842A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Uso de programas utilitarios privilegiados</w:t>
            </w:r>
          </w:p>
        </w:tc>
        <w:tc>
          <w:tcPr>
            <w:tcW w:w="2551" w:type="dxa"/>
            <w:shd w:val="clear" w:color="auto" w:fill="auto"/>
            <w:vAlign w:val="center"/>
            <w:hideMark/>
          </w:tcPr>
          <w:p w14:paraId="2151B85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 restringir y controlar estrechamente el uso de programas utilitarios que podrían tener capacidad de anular el sistema y los controles de las aplicaciones.</w:t>
            </w:r>
          </w:p>
        </w:tc>
        <w:tc>
          <w:tcPr>
            <w:tcW w:w="826" w:type="dxa"/>
            <w:shd w:val="clear" w:color="000000" w:fill="008000"/>
            <w:vAlign w:val="center"/>
            <w:hideMark/>
          </w:tcPr>
          <w:p w14:paraId="5719B9DF"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10FC78C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Los equipos unidos al dominio no tienen permiso de administrador por tanto no pueden instalar software.</w:t>
            </w:r>
            <w:r w:rsidRPr="00795864">
              <w:rPr>
                <w:rFonts w:asciiTheme="majorHAnsi" w:eastAsia="Times New Roman" w:hAnsiTheme="majorHAnsi" w:cstheme="majorHAnsi"/>
                <w:color w:val="000000"/>
                <w:sz w:val="16"/>
                <w:szCs w:val="16"/>
                <w:lang w:val="es-CO" w:eastAsia="es-CO"/>
              </w:rPr>
              <w:br/>
              <w:t>* Si se requiere la instalación de algún software específico se solicita a través del Service Manager y lo gestiona la Mesa de Ayuda.</w:t>
            </w:r>
          </w:p>
        </w:tc>
        <w:tc>
          <w:tcPr>
            <w:tcW w:w="1275" w:type="dxa"/>
            <w:shd w:val="clear" w:color="000000" w:fill="92D050"/>
            <w:vAlign w:val="center"/>
            <w:hideMark/>
          </w:tcPr>
          <w:p w14:paraId="40B333AE"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SI</w:t>
            </w:r>
          </w:p>
        </w:tc>
        <w:tc>
          <w:tcPr>
            <w:tcW w:w="1276" w:type="dxa"/>
            <w:shd w:val="clear" w:color="000000" w:fill="0070C0"/>
            <w:vAlign w:val="center"/>
            <w:hideMark/>
          </w:tcPr>
          <w:p w14:paraId="35D26092"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62CF8A04"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4EEEB88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Formalizar políticas sobre el uso no autorizado de programas utilitarios</w:t>
            </w:r>
          </w:p>
        </w:tc>
        <w:tc>
          <w:tcPr>
            <w:tcW w:w="1843" w:type="dxa"/>
          </w:tcPr>
          <w:p w14:paraId="37293323"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20A5F2E5" w14:textId="77777777" w:rsidTr="004A6248">
        <w:trPr>
          <w:trHeight w:val="20"/>
        </w:trPr>
        <w:tc>
          <w:tcPr>
            <w:tcW w:w="546" w:type="dxa"/>
            <w:shd w:val="clear" w:color="auto" w:fill="auto"/>
            <w:vAlign w:val="center"/>
            <w:hideMark/>
          </w:tcPr>
          <w:p w14:paraId="6464FD5D"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9.4.5</w:t>
            </w:r>
          </w:p>
        </w:tc>
        <w:tc>
          <w:tcPr>
            <w:tcW w:w="1156" w:type="dxa"/>
            <w:shd w:val="clear" w:color="auto" w:fill="auto"/>
            <w:vAlign w:val="center"/>
            <w:hideMark/>
          </w:tcPr>
          <w:p w14:paraId="1158C55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Control de acceso a códigos fuente de programas</w:t>
            </w:r>
          </w:p>
        </w:tc>
        <w:tc>
          <w:tcPr>
            <w:tcW w:w="2551" w:type="dxa"/>
            <w:shd w:val="clear" w:color="auto" w:fill="auto"/>
            <w:vAlign w:val="center"/>
            <w:hideMark/>
          </w:tcPr>
          <w:p w14:paraId="1598157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 restringir el acceso a códigos fuente de programas.</w:t>
            </w:r>
          </w:p>
        </w:tc>
        <w:tc>
          <w:tcPr>
            <w:tcW w:w="826" w:type="dxa"/>
            <w:shd w:val="clear" w:color="000000" w:fill="008000"/>
            <w:vAlign w:val="center"/>
            <w:hideMark/>
          </w:tcPr>
          <w:p w14:paraId="067C552B"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6ADC0B6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códigos fuente se encuentran en repositorios independientes, con control de acceso.</w:t>
            </w:r>
          </w:p>
        </w:tc>
        <w:tc>
          <w:tcPr>
            <w:tcW w:w="1275" w:type="dxa"/>
            <w:shd w:val="clear" w:color="000000" w:fill="92D050"/>
            <w:vAlign w:val="center"/>
            <w:hideMark/>
          </w:tcPr>
          <w:p w14:paraId="16AED593"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SI</w:t>
            </w:r>
          </w:p>
        </w:tc>
        <w:tc>
          <w:tcPr>
            <w:tcW w:w="1276" w:type="dxa"/>
            <w:shd w:val="clear" w:color="000000" w:fill="0070C0"/>
            <w:vAlign w:val="center"/>
            <w:hideMark/>
          </w:tcPr>
          <w:p w14:paraId="4C4429D0"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6E05005A"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50EB7D3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Implementar controles que prevengan el acceso no autorizado a códigos fuente de programas desarrollados inhouse o adquiridos.</w:t>
            </w:r>
          </w:p>
        </w:tc>
        <w:tc>
          <w:tcPr>
            <w:tcW w:w="1843" w:type="dxa"/>
          </w:tcPr>
          <w:p w14:paraId="752ED4C8"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06CC2B01" w14:textId="77777777" w:rsidTr="004A6248">
        <w:trPr>
          <w:trHeight w:val="20"/>
        </w:trPr>
        <w:tc>
          <w:tcPr>
            <w:tcW w:w="546" w:type="dxa"/>
            <w:shd w:val="clear" w:color="000000" w:fill="1F497D"/>
            <w:vAlign w:val="center"/>
            <w:hideMark/>
          </w:tcPr>
          <w:p w14:paraId="196406F2"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10</w:t>
            </w:r>
          </w:p>
        </w:tc>
        <w:tc>
          <w:tcPr>
            <w:tcW w:w="10653" w:type="dxa"/>
            <w:gridSpan w:val="6"/>
            <w:shd w:val="clear" w:color="000000" w:fill="1F497D"/>
            <w:vAlign w:val="center"/>
            <w:hideMark/>
          </w:tcPr>
          <w:p w14:paraId="2D6B3DE5"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CRIPTOGRAFÍA</w:t>
            </w:r>
          </w:p>
        </w:tc>
        <w:tc>
          <w:tcPr>
            <w:tcW w:w="851" w:type="dxa"/>
            <w:shd w:val="clear" w:color="000000" w:fill="1F497D"/>
            <w:vAlign w:val="center"/>
            <w:hideMark/>
          </w:tcPr>
          <w:p w14:paraId="063234B7"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20%</w:t>
            </w:r>
          </w:p>
        </w:tc>
        <w:tc>
          <w:tcPr>
            <w:tcW w:w="3827" w:type="dxa"/>
            <w:shd w:val="clear" w:color="000000" w:fill="1F497D"/>
            <w:vAlign w:val="center"/>
            <w:hideMark/>
          </w:tcPr>
          <w:p w14:paraId="4F1CFEA3"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1F497D"/>
          </w:tcPr>
          <w:p w14:paraId="266188DC"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6250A7C0" w14:textId="77777777" w:rsidTr="004A6248">
        <w:trPr>
          <w:trHeight w:val="20"/>
        </w:trPr>
        <w:tc>
          <w:tcPr>
            <w:tcW w:w="546" w:type="dxa"/>
            <w:shd w:val="clear" w:color="000000" w:fill="538DD5"/>
            <w:vAlign w:val="center"/>
            <w:hideMark/>
          </w:tcPr>
          <w:p w14:paraId="619A78FD"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10.1</w:t>
            </w:r>
          </w:p>
        </w:tc>
        <w:tc>
          <w:tcPr>
            <w:tcW w:w="10653" w:type="dxa"/>
            <w:gridSpan w:val="6"/>
            <w:shd w:val="clear" w:color="000000" w:fill="538DD5"/>
            <w:vAlign w:val="center"/>
            <w:hideMark/>
          </w:tcPr>
          <w:p w14:paraId="7E206184"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Controles criptográficos</w:t>
            </w:r>
          </w:p>
        </w:tc>
        <w:tc>
          <w:tcPr>
            <w:tcW w:w="851" w:type="dxa"/>
            <w:shd w:val="clear" w:color="000000" w:fill="538DD5"/>
            <w:vAlign w:val="center"/>
            <w:hideMark/>
          </w:tcPr>
          <w:p w14:paraId="3B49FC77"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20%</w:t>
            </w:r>
          </w:p>
        </w:tc>
        <w:tc>
          <w:tcPr>
            <w:tcW w:w="3827" w:type="dxa"/>
            <w:shd w:val="clear" w:color="000000" w:fill="538DD5"/>
            <w:vAlign w:val="center"/>
            <w:hideMark/>
          </w:tcPr>
          <w:p w14:paraId="2067304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31B405D6"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485BABA4" w14:textId="77777777" w:rsidTr="004A6248">
        <w:trPr>
          <w:trHeight w:val="20"/>
        </w:trPr>
        <w:tc>
          <w:tcPr>
            <w:tcW w:w="546" w:type="dxa"/>
            <w:shd w:val="clear" w:color="000000" w:fill="538DD5"/>
            <w:vAlign w:val="center"/>
            <w:hideMark/>
          </w:tcPr>
          <w:p w14:paraId="4B4055C1"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7E26A141"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Asegurar el uso apropiado y eficaz de la criptografía para proteger la confiabilidad, la autenticidad y/o la integridad de la información.</w:t>
            </w:r>
          </w:p>
        </w:tc>
        <w:tc>
          <w:tcPr>
            <w:tcW w:w="851" w:type="dxa"/>
            <w:shd w:val="clear" w:color="000000" w:fill="538DD5"/>
            <w:vAlign w:val="center"/>
            <w:hideMark/>
          </w:tcPr>
          <w:p w14:paraId="2B053A25"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3827" w:type="dxa"/>
            <w:shd w:val="clear" w:color="000000" w:fill="538DD5"/>
            <w:vAlign w:val="center"/>
            <w:hideMark/>
          </w:tcPr>
          <w:p w14:paraId="029456EA"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0FD70EB3"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39622791" w14:textId="77777777" w:rsidTr="004A6248">
        <w:trPr>
          <w:trHeight w:val="20"/>
        </w:trPr>
        <w:tc>
          <w:tcPr>
            <w:tcW w:w="546" w:type="dxa"/>
            <w:shd w:val="clear" w:color="auto" w:fill="auto"/>
            <w:vAlign w:val="center"/>
            <w:hideMark/>
          </w:tcPr>
          <w:p w14:paraId="7FD48F69"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10.1.1</w:t>
            </w:r>
          </w:p>
        </w:tc>
        <w:tc>
          <w:tcPr>
            <w:tcW w:w="1156" w:type="dxa"/>
            <w:shd w:val="clear" w:color="auto" w:fill="auto"/>
            <w:vAlign w:val="center"/>
            <w:hideMark/>
          </w:tcPr>
          <w:p w14:paraId="188EB15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Política sobre el uso de controles criptográficos</w:t>
            </w:r>
          </w:p>
        </w:tc>
        <w:tc>
          <w:tcPr>
            <w:tcW w:w="2551" w:type="dxa"/>
            <w:shd w:val="clear" w:color="auto" w:fill="auto"/>
            <w:vAlign w:val="center"/>
            <w:hideMark/>
          </w:tcPr>
          <w:p w14:paraId="353757A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 desarrollar e implementar una política sobre el uso de controles criptográficos para protección de información.</w:t>
            </w:r>
          </w:p>
        </w:tc>
        <w:tc>
          <w:tcPr>
            <w:tcW w:w="826" w:type="dxa"/>
            <w:shd w:val="clear" w:color="000000" w:fill="008000"/>
            <w:vAlign w:val="center"/>
            <w:hideMark/>
          </w:tcPr>
          <w:p w14:paraId="272AD98B"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31E8799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Se tiene inventario de los certificados, no se tiene procedimiento o políticas obre controles criptográficos.</w:t>
            </w:r>
            <w:r w:rsidRPr="00795864">
              <w:rPr>
                <w:rFonts w:asciiTheme="majorHAnsi" w:eastAsia="Times New Roman" w:hAnsiTheme="majorHAnsi" w:cstheme="majorHAnsi"/>
                <w:color w:val="000000"/>
                <w:sz w:val="16"/>
                <w:szCs w:val="16"/>
                <w:lang w:val="es-CO" w:eastAsia="es-CO"/>
              </w:rPr>
              <w:br/>
              <w:t>* Certificado público para comunicaciones unificadas que funciona sobre Lync 2013, página web, servidor aplicaciones producción, aula virtual, investigación CENS, correo</w:t>
            </w:r>
            <w:r w:rsidRPr="00795864">
              <w:rPr>
                <w:rFonts w:asciiTheme="majorHAnsi" w:eastAsia="Times New Roman" w:hAnsiTheme="majorHAnsi" w:cstheme="majorHAnsi"/>
                <w:color w:val="000000"/>
                <w:sz w:val="16"/>
                <w:szCs w:val="16"/>
                <w:lang w:val="es-CO" w:eastAsia="es-CO"/>
              </w:rPr>
              <w:br/>
              <w:t xml:space="preserve">* Certificado validación extendida, certificados básicos, con </w:t>
            </w:r>
            <w:proofErr w:type="spellStart"/>
            <w:r w:rsidRPr="00795864">
              <w:rPr>
                <w:rFonts w:asciiTheme="majorHAnsi" w:eastAsia="Times New Roman" w:hAnsiTheme="majorHAnsi" w:cstheme="majorHAnsi"/>
                <w:color w:val="000000"/>
                <w:sz w:val="16"/>
                <w:szCs w:val="16"/>
                <w:lang w:val="es-CO" w:eastAsia="es-CO"/>
              </w:rPr>
              <w:t>certicamara</w:t>
            </w:r>
            <w:proofErr w:type="spellEnd"/>
            <w:r w:rsidRPr="00795864">
              <w:rPr>
                <w:rFonts w:asciiTheme="majorHAnsi" w:eastAsia="Times New Roman" w:hAnsiTheme="majorHAnsi" w:cstheme="majorHAnsi"/>
                <w:color w:val="000000"/>
                <w:sz w:val="16"/>
                <w:szCs w:val="16"/>
                <w:lang w:val="es-CO" w:eastAsia="es-CO"/>
              </w:rPr>
              <w:t xml:space="preserve">, </w:t>
            </w:r>
            <w:proofErr w:type="spellStart"/>
            <w:r w:rsidRPr="00795864">
              <w:rPr>
                <w:rFonts w:asciiTheme="majorHAnsi" w:eastAsia="Times New Roman" w:hAnsiTheme="majorHAnsi" w:cstheme="majorHAnsi"/>
                <w:color w:val="000000"/>
                <w:sz w:val="16"/>
                <w:szCs w:val="16"/>
                <w:lang w:val="es-CO" w:eastAsia="es-CO"/>
              </w:rPr>
              <w:t>gcs</w:t>
            </w:r>
            <w:proofErr w:type="spellEnd"/>
            <w:r w:rsidRPr="00795864">
              <w:rPr>
                <w:rFonts w:asciiTheme="majorHAnsi" w:eastAsia="Times New Roman" w:hAnsiTheme="majorHAnsi" w:cstheme="majorHAnsi"/>
                <w:color w:val="000000"/>
                <w:sz w:val="16"/>
                <w:szCs w:val="16"/>
                <w:lang w:val="es-CO" w:eastAsia="es-CO"/>
              </w:rPr>
              <w:t xml:space="preserve"> gestión de seguridad electrónica</w:t>
            </w:r>
            <w:r w:rsidRPr="00795864">
              <w:rPr>
                <w:rFonts w:asciiTheme="majorHAnsi" w:eastAsia="Times New Roman" w:hAnsiTheme="majorHAnsi" w:cstheme="majorHAnsi"/>
                <w:color w:val="000000"/>
                <w:sz w:val="16"/>
                <w:szCs w:val="16"/>
                <w:lang w:val="es-CO" w:eastAsia="es-CO"/>
              </w:rPr>
              <w:br/>
              <w:t>* Se tiene CA propia</w:t>
            </w:r>
            <w:r w:rsidRPr="00795864">
              <w:rPr>
                <w:rFonts w:asciiTheme="majorHAnsi" w:eastAsia="Times New Roman" w:hAnsiTheme="majorHAnsi" w:cstheme="majorHAnsi"/>
                <w:color w:val="000000"/>
                <w:sz w:val="16"/>
                <w:szCs w:val="16"/>
                <w:lang w:val="es-CO" w:eastAsia="es-CO"/>
              </w:rPr>
              <w:br/>
              <w:t>* Se utilizan certificaos fuertes para servicios críticos</w:t>
            </w:r>
          </w:p>
        </w:tc>
        <w:tc>
          <w:tcPr>
            <w:tcW w:w="1275" w:type="dxa"/>
            <w:shd w:val="clear" w:color="000000" w:fill="E26B0A"/>
            <w:vAlign w:val="center"/>
            <w:hideMark/>
          </w:tcPr>
          <w:p w14:paraId="3E8D9CBA"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FFFF00"/>
            <w:vAlign w:val="center"/>
            <w:hideMark/>
          </w:tcPr>
          <w:p w14:paraId="59C2639C"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Repetible</w:t>
            </w:r>
          </w:p>
        </w:tc>
        <w:tc>
          <w:tcPr>
            <w:tcW w:w="851" w:type="dxa"/>
            <w:shd w:val="clear" w:color="auto" w:fill="auto"/>
            <w:vAlign w:val="center"/>
            <w:hideMark/>
          </w:tcPr>
          <w:p w14:paraId="117441EC"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40%</w:t>
            </w:r>
          </w:p>
        </w:tc>
        <w:tc>
          <w:tcPr>
            <w:tcW w:w="3827" w:type="dxa"/>
            <w:shd w:val="clear" w:color="auto" w:fill="auto"/>
            <w:vAlign w:val="center"/>
            <w:hideMark/>
          </w:tcPr>
          <w:p w14:paraId="3411C3F1"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Se recomienda identificar todos los certificados y controles criptográficos que se utilizan en el INS</w:t>
            </w:r>
            <w:r w:rsidRPr="00795864">
              <w:rPr>
                <w:rFonts w:asciiTheme="majorHAnsi" w:eastAsia="Times New Roman" w:hAnsiTheme="majorHAnsi" w:cstheme="majorHAnsi"/>
                <w:color w:val="000000"/>
                <w:sz w:val="16"/>
                <w:szCs w:val="16"/>
                <w:lang w:val="es-CO" w:eastAsia="es-CO"/>
              </w:rPr>
              <w:br/>
              <w:t>* Generar la política para el uso adecuado de controles criptográficos</w:t>
            </w:r>
          </w:p>
        </w:tc>
        <w:tc>
          <w:tcPr>
            <w:tcW w:w="1843" w:type="dxa"/>
          </w:tcPr>
          <w:p w14:paraId="2896B9C9"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037F193E" w14:textId="77777777" w:rsidTr="004A6248">
        <w:trPr>
          <w:trHeight w:val="1492"/>
        </w:trPr>
        <w:tc>
          <w:tcPr>
            <w:tcW w:w="546" w:type="dxa"/>
            <w:shd w:val="clear" w:color="auto" w:fill="auto"/>
            <w:vAlign w:val="center"/>
            <w:hideMark/>
          </w:tcPr>
          <w:p w14:paraId="0594AD76"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10.1.2</w:t>
            </w:r>
          </w:p>
        </w:tc>
        <w:tc>
          <w:tcPr>
            <w:tcW w:w="1156" w:type="dxa"/>
            <w:shd w:val="clear" w:color="auto" w:fill="auto"/>
            <w:vAlign w:val="center"/>
            <w:hideMark/>
          </w:tcPr>
          <w:p w14:paraId="33CF3BC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Gestión de claves</w:t>
            </w:r>
          </w:p>
        </w:tc>
        <w:tc>
          <w:tcPr>
            <w:tcW w:w="2551" w:type="dxa"/>
            <w:shd w:val="clear" w:color="auto" w:fill="auto"/>
            <w:vAlign w:val="center"/>
            <w:hideMark/>
          </w:tcPr>
          <w:p w14:paraId="3035AFD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 desarrollar e implementar una política sobre el uso, protección y tiempo de vida de claves criptográficas, durante todo su ciclo de vida.</w:t>
            </w:r>
          </w:p>
        </w:tc>
        <w:tc>
          <w:tcPr>
            <w:tcW w:w="826" w:type="dxa"/>
            <w:shd w:val="clear" w:color="000000" w:fill="008000"/>
            <w:vAlign w:val="center"/>
            <w:hideMark/>
          </w:tcPr>
          <w:p w14:paraId="16A89850"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5CE8058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Se tiene inventario de los certificados, no se tiene procedimiento o políticas obre controles criptográficos.</w:t>
            </w:r>
            <w:r w:rsidRPr="00795864">
              <w:rPr>
                <w:rFonts w:asciiTheme="majorHAnsi" w:eastAsia="Times New Roman" w:hAnsiTheme="majorHAnsi" w:cstheme="majorHAnsi"/>
                <w:color w:val="000000"/>
                <w:sz w:val="16"/>
                <w:szCs w:val="16"/>
                <w:lang w:val="es-CO" w:eastAsia="es-CO"/>
              </w:rPr>
              <w:br/>
              <w:t>* No Se tiene una política sobre el uso, protección y tiempo de vida de claves criptográficas.</w:t>
            </w:r>
          </w:p>
        </w:tc>
        <w:tc>
          <w:tcPr>
            <w:tcW w:w="1275" w:type="dxa"/>
            <w:shd w:val="clear" w:color="000000" w:fill="FF0000"/>
            <w:vAlign w:val="center"/>
            <w:hideMark/>
          </w:tcPr>
          <w:p w14:paraId="4C2935C1"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NO</w:t>
            </w:r>
          </w:p>
        </w:tc>
        <w:tc>
          <w:tcPr>
            <w:tcW w:w="1276" w:type="dxa"/>
            <w:shd w:val="clear" w:color="000000" w:fill="FF0000"/>
            <w:vAlign w:val="center"/>
            <w:hideMark/>
          </w:tcPr>
          <w:p w14:paraId="640016E9"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Inexistente</w:t>
            </w:r>
          </w:p>
        </w:tc>
        <w:tc>
          <w:tcPr>
            <w:tcW w:w="851" w:type="dxa"/>
            <w:shd w:val="clear" w:color="auto" w:fill="auto"/>
            <w:vAlign w:val="center"/>
            <w:hideMark/>
          </w:tcPr>
          <w:p w14:paraId="727BD4C3"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0%</w:t>
            </w:r>
          </w:p>
        </w:tc>
        <w:tc>
          <w:tcPr>
            <w:tcW w:w="3827" w:type="dxa"/>
            <w:shd w:val="clear" w:color="auto" w:fill="auto"/>
            <w:vAlign w:val="center"/>
            <w:hideMark/>
          </w:tcPr>
          <w:p w14:paraId="139E412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Se recomienda identificar todos los certificados y controles criptográficos que se utilizan en el INS</w:t>
            </w:r>
            <w:r w:rsidRPr="00795864">
              <w:rPr>
                <w:rFonts w:asciiTheme="majorHAnsi" w:eastAsia="Times New Roman" w:hAnsiTheme="majorHAnsi" w:cstheme="majorHAnsi"/>
                <w:color w:val="000000"/>
                <w:sz w:val="16"/>
                <w:szCs w:val="16"/>
                <w:lang w:val="es-CO" w:eastAsia="es-CO"/>
              </w:rPr>
              <w:br/>
              <w:t>* Generar la política para el uso adecuado de controles criptográficos</w:t>
            </w:r>
          </w:p>
        </w:tc>
        <w:tc>
          <w:tcPr>
            <w:tcW w:w="1843" w:type="dxa"/>
          </w:tcPr>
          <w:p w14:paraId="3936B9B5"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163E92F6" w14:textId="77777777" w:rsidTr="004A6248">
        <w:trPr>
          <w:trHeight w:val="20"/>
        </w:trPr>
        <w:tc>
          <w:tcPr>
            <w:tcW w:w="546" w:type="dxa"/>
            <w:shd w:val="clear" w:color="000000" w:fill="1F497D"/>
            <w:vAlign w:val="center"/>
            <w:hideMark/>
          </w:tcPr>
          <w:p w14:paraId="3DF813C0"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11</w:t>
            </w:r>
          </w:p>
        </w:tc>
        <w:tc>
          <w:tcPr>
            <w:tcW w:w="10653" w:type="dxa"/>
            <w:gridSpan w:val="6"/>
            <w:shd w:val="clear" w:color="000000" w:fill="1F497D"/>
            <w:vAlign w:val="center"/>
            <w:hideMark/>
          </w:tcPr>
          <w:p w14:paraId="711A7760"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SEGURIDAD FÍSICA Y DEL ENTORNO</w:t>
            </w:r>
          </w:p>
        </w:tc>
        <w:tc>
          <w:tcPr>
            <w:tcW w:w="851" w:type="dxa"/>
            <w:shd w:val="clear" w:color="000000" w:fill="1F497D"/>
            <w:vAlign w:val="center"/>
            <w:hideMark/>
          </w:tcPr>
          <w:p w14:paraId="1F629AC8"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59%</w:t>
            </w:r>
          </w:p>
        </w:tc>
        <w:tc>
          <w:tcPr>
            <w:tcW w:w="3827" w:type="dxa"/>
            <w:shd w:val="clear" w:color="000000" w:fill="1F497D"/>
            <w:vAlign w:val="center"/>
            <w:hideMark/>
          </w:tcPr>
          <w:p w14:paraId="24D8BCB4"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1F497D"/>
          </w:tcPr>
          <w:p w14:paraId="29CC1B43"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3D25DF6A" w14:textId="77777777" w:rsidTr="004A6248">
        <w:trPr>
          <w:trHeight w:val="20"/>
        </w:trPr>
        <w:tc>
          <w:tcPr>
            <w:tcW w:w="546" w:type="dxa"/>
            <w:shd w:val="clear" w:color="000000" w:fill="538DD5"/>
            <w:vAlign w:val="center"/>
            <w:hideMark/>
          </w:tcPr>
          <w:p w14:paraId="7998B4FD"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11.1</w:t>
            </w:r>
          </w:p>
        </w:tc>
        <w:tc>
          <w:tcPr>
            <w:tcW w:w="10653" w:type="dxa"/>
            <w:gridSpan w:val="6"/>
            <w:shd w:val="clear" w:color="000000" w:fill="538DD5"/>
            <w:vAlign w:val="center"/>
            <w:hideMark/>
          </w:tcPr>
          <w:p w14:paraId="72645501"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Áreas seguras</w:t>
            </w:r>
          </w:p>
        </w:tc>
        <w:tc>
          <w:tcPr>
            <w:tcW w:w="851" w:type="dxa"/>
            <w:shd w:val="clear" w:color="000000" w:fill="538DD5"/>
            <w:vAlign w:val="center"/>
            <w:hideMark/>
          </w:tcPr>
          <w:p w14:paraId="0E1DF463"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67%</w:t>
            </w:r>
          </w:p>
        </w:tc>
        <w:tc>
          <w:tcPr>
            <w:tcW w:w="3827" w:type="dxa"/>
            <w:shd w:val="clear" w:color="000000" w:fill="538DD5"/>
            <w:vAlign w:val="center"/>
            <w:hideMark/>
          </w:tcPr>
          <w:p w14:paraId="2E35388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4AC68695"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701DDAC5" w14:textId="77777777" w:rsidTr="004A6248">
        <w:trPr>
          <w:trHeight w:val="20"/>
        </w:trPr>
        <w:tc>
          <w:tcPr>
            <w:tcW w:w="546" w:type="dxa"/>
            <w:shd w:val="clear" w:color="000000" w:fill="538DD5"/>
            <w:vAlign w:val="center"/>
            <w:hideMark/>
          </w:tcPr>
          <w:p w14:paraId="70F8C4D0"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12A36191"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Prevenir el acceso físico no autorizado, el daño y la interferencia a la información y a las instalaciones de procesamiento de información de la organización.</w:t>
            </w:r>
          </w:p>
        </w:tc>
        <w:tc>
          <w:tcPr>
            <w:tcW w:w="851" w:type="dxa"/>
            <w:shd w:val="clear" w:color="000000" w:fill="538DD5"/>
            <w:vAlign w:val="center"/>
            <w:hideMark/>
          </w:tcPr>
          <w:p w14:paraId="20E2B0D9"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3827" w:type="dxa"/>
            <w:shd w:val="clear" w:color="000000" w:fill="538DD5"/>
            <w:vAlign w:val="center"/>
            <w:hideMark/>
          </w:tcPr>
          <w:p w14:paraId="33A73F03"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32292930"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74D908C4" w14:textId="77777777" w:rsidTr="004A6248">
        <w:trPr>
          <w:trHeight w:val="20"/>
        </w:trPr>
        <w:tc>
          <w:tcPr>
            <w:tcW w:w="546" w:type="dxa"/>
            <w:shd w:val="clear" w:color="auto" w:fill="auto"/>
            <w:vAlign w:val="center"/>
            <w:hideMark/>
          </w:tcPr>
          <w:p w14:paraId="445EAA95"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11.1.1</w:t>
            </w:r>
          </w:p>
        </w:tc>
        <w:tc>
          <w:tcPr>
            <w:tcW w:w="1156" w:type="dxa"/>
            <w:shd w:val="clear" w:color="auto" w:fill="auto"/>
            <w:vAlign w:val="center"/>
            <w:hideMark/>
          </w:tcPr>
          <w:p w14:paraId="7EC2E91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Perímetro de seguridad </w:t>
            </w:r>
            <w:r w:rsidRPr="00795864">
              <w:rPr>
                <w:rFonts w:asciiTheme="majorHAnsi" w:eastAsia="Times New Roman" w:hAnsiTheme="majorHAnsi" w:cstheme="majorHAnsi"/>
                <w:color w:val="000000"/>
                <w:sz w:val="16"/>
                <w:szCs w:val="16"/>
                <w:lang w:val="es-CO" w:eastAsia="es-CO"/>
              </w:rPr>
              <w:lastRenderedPageBreak/>
              <w:t>física</w:t>
            </w:r>
          </w:p>
        </w:tc>
        <w:tc>
          <w:tcPr>
            <w:tcW w:w="2551" w:type="dxa"/>
            <w:shd w:val="clear" w:color="auto" w:fill="auto"/>
            <w:vAlign w:val="center"/>
            <w:hideMark/>
          </w:tcPr>
          <w:p w14:paraId="16745AA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lastRenderedPageBreak/>
              <w:t xml:space="preserve">Se deben definir y usar perímetros de seguridad, y usarlos para </w:t>
            </w:r>
            <w:r w:rsidRPr="00795864">
              <w:rPr>
                <w:rFonts w:asciiTheme="majorHAnsi" w:eastAsia="Times New Roman" w:hAnsiTheme="majorHAnsi" w:cstheme="majorHAnsi"/>
                <w:color w:val="000000"/>
                <w:sz w:val="16"/>
                <w:szCs w:val="16"/>
                <w:lang w:val="es-CO" w:eastAsia="es-CO"/>
              </w:rPr>
              <w:lastRenderedPageBreak/>
              <w:t>proteger áreas que contengan información confidencial o crítica, e instalaciones de manejo de información.</w:t>
            </w:r>
          </w:p>
        </w:tc>
        <w:tc>
          <w:tcPr>
            <w:tcW w:w="826" w:type="dxa"/>
            <w:shd w:val="clear" w:color="000000" w:fill="008000"/>
            <w:vAlign w:val="center"/>
            <w:hideMark/>
          </w:tcPr>
          <w:p w14:paraId="08C700CE"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lastRenderedPageBreak/>
              <w:t>Aplica</w:t>
            </w:r>
          </w:p>
        </w:tc>
        <w:tc>
          <w:tcPr>
            <w:tcW w:w="3569" w:type="dxa"/>
            <w:shd w:val="clear" w:color="auto" w:fill="auto"/>
            <w:vAlign w:val="center"/>
            <w:hideMark/>
          </w:tcPr>
          <w:p w14:paraId="5576988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 Se tiene un perímetro de seguridad externo y se tienen definidas áreas seguras internas, como: </w:t>
            </w:r>
            <w:proofErr w:type="spellStart"/>
            <w:r w:rsidRPr="00795864">
              <w:rPr>
                <w:rFonts w:asciiTheme="majorHAnsi" w:eastAsia="Times New Roman" w:hAnsiTheme="majorHAnsi" w:cstheme="majorHAnsi"/>
                <w:color w:val="000000"/>
                <w:sz w:val="16"/>
                <w:szCs w:val="16"/>
                <w:lang w:val="es-CO" w:eastAsia="es-CO"/>
              </w:rPr>
              <w:lastRenderedPageBreak/>
              <w:t>DataCenter</w:t>
            </w:r>
            <w:proofErr w:type="spellEnd"/>
            <w:r w:rsidRPr="00795864">
              <w:rPr>
                <w:rFonts w:asciiTheme="majorHAnsi" w:eastAsia="Times New Roman" w:hAnsiTheme="majorHAnsi" w:cstheme="majorHAnsi"/>
                <w:color w:val="000000"/>
                <w:sz w:val="16"/>
                <w:szCs w:val="16"/>
                <w:lang w:val="es-CO" w:eastAsia="es-CO"/>
              </w:rPr>
              <w:t>, Bioterio, planta de sueros, laboratorios en general,  COE Centro operativo de emergencias, Tesorería y almacén los cuales cuentan con controles de acceso específicos gestionados por cada área.</w:t>
            </w:r>
            <w:r w:rsidRPr="00795864">
              <w:rPr>
                <w:rFonts w:asciiTheme="majorHAnsi" w:eastAsia="Times New Roman" w:hAnsiTheme="majorHAnsi" w:cstheme="majorHAnsi"/>
                <w:color w:val="000000"/>
                <w:sz w:val="16"/>
                <w:szCs w:val="16"/>
                <w:lang w:val="es-CO" w:eastAsia="es-CO"/>
              </w:rPr>
              <w:br/>
              <w:t>* Se cuenta con un servicio vigilancia privada, que consta de 8 guardas en sede principal, 1 en la hacienda, 1 en armero (finca).</w:t>
            </w:r>
            <w:r w:rsidRPr="00795864">
              <w:rPr>
                <w:rFonts w:asciiTheme="majorHAnsi" w:eastAsia="Times New Roman" w:hAnsiTheme="majorHAnsi" w:cstheme="majorHAnsi"/>
                <w:color w:val="000000"/>
                <w:sz w:val="16"/>
                <w:szCs w:val="16"/>
                <w:lang w:val="es-CO" w:eastAsia="es-CO"/>
              </w:rPr>
              <w:br/>
              <w:t xml:space="preserve">* También se cuenta con circuito cerrado de televisión, que consta de 78 cámaras, el cual es del tercero, ellos custodian los </w:t>
            </w:r>
            <w:proofErr w:type="spellStart"/>
            <w:r w:rsidRPr="00795864">
              <w:rPr>
                <w:rFonts w:asciiTheme="majorHAnsi" w:eastAsia="Times New Roman" w:hAnsiTheme="majorHAnsi" w:cstheme="majorHAnsi"/>
                <w:color w:val="000000"/>
                <w:sz w:val="16"/>
                <w:szCs w:val="16"/>
                <w:lang w:val="es-CO" w:eastAsia="es-CO"/>
              </w:rPr>
              <w:t>backups</w:t>
            </w:r>
            <w:proofErr w:type="spellEnd"/>
            <w:r w:rsidRPr="00795864">
              <w:rPr>
                <w:rFonts w:asciiTheme="majorHAnsi" w:eastAsia="Times New Roman" w:hAnsiTheme="majorHAnsi" w:cstheme="majorHAnsi"/>
                <w:color w:val="000000"/>
                <w:sz w:val="16"/>
                <w:szCs w:val="16"/>
                <w:lang w:val="es-CO" w:eastAsia="es-CO"/>
              </w:rPr>
              <w:t>, y el software de registro de acceso.</w:t>
            </w:r>
            <w:r w:rsidRPr="00795864">
              <w:rPr>
                <w:rFonts w:asciiTheme="majorHAnsi" w:eastAsia="Times New Roman" w:hAnsiTheme="majorHAnsi" w:cstheme="majorHAnsi"/>
                <w:color w:val="000000"/>
                <w:sz w:val="16"/>
                <w:szCs w:val="16"/>
                <w:lang w:val="es-CO" w:eastAsia="es-CO"/>
              </w:rPr>
              <w:br/>
              <w:t>* En la entrada se cuenta con Talanqueras que son del instituto, para acceso de funcionarios, los contratistas no cuenta con  tarjetas de acceso.</w:t>
            </w:r>
            <w:r w:rsidRPr="00795864">
              <w:rPr>
                <w:rFonts w:asciiTheme="majorHAnsi" w:eastAsia="Times New Roman" w:hAnsiTheme="majorHAnsi" w:cstheme="majorHAnsi"/>
                <w:color w:val="000000"/>
                <w:sz w:val="16"/>
                <w:szCs w:val="16"/>
                <w:lang w:val="es-CO" w:eastAsia="es-CO"/>
              </w:rPr>
              <w:br/>
              <w:t>* El archivo central tiene servicio de vigilancia, no tiene circuito cerrado de televisión, el archivo se encuentra  bajo llave, está ubicado en una zona insegura, ha tenido problemas de goteras.</w:t>
            </w:r>
          </w:p>
        </w:tc>
        <w:tc>
          <w:tcPr>
            <w:tcW w:w="1275" w:type="dxa"/>
            <w:shd w:val="clear" w:color="000000" w:fill="92D050"/>
            <w:vAlign w:val="center"/>
            <w:hideMark/>
          </w:tcPr>
          <w:p w14:paraId="41C66E00"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lastRenderedPageBreak/>
              <w:t>SI</w:t>
            </w:r>
          </w:p>
        </w:tc>
        <w:tc>
          <w:tcPr>
            <w:tcW w:w="1276" w:type="dxa"/>
            <w:shd w:val="clear" w:color="000000" w:fill="0070C0"/>
            <w:vAlign w:val="center"/>
            <w:hideMark/>
          </w:tcPr>
          <w:p w14:paraId="7476D29C"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0D7A97FF"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3325C5B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Se recomienda revisar los controles implementados para garantizar el acceso seguro a las instalaciones </w:t>
            </w:r>
            <w:r w:rsidRPr="00795864">
              <w:rPr>
                <w:rFonts w:asciiTheme="majorHAnsi" w:eastAsia="Times New Roman" w:hAnsiTheme="majorHAnsi" w:cstheme="majorHAnsi"/>
                <w:color w:val="000000"/>
                <w:sz w:val="16"/>
                <w:szCs w:val="16"/>
                <w:lang w:val="es-CO" w:eastAsia="es-CO"/>
              </w:rPr>
              <w:lastRenderedPageBreak/>
              <w:t>únicamente por el personal autorizado, dejando registro de dicho acceso.</w:t>
            </w:r>
          </w:p>
        </w:tc>
        <w:tc>
          <w:tcPr>
            <w:tcW w:w="1843" w:type="dxa"/>
          </w:tcPr>
          <w:p w14:paraId="4B1EBA2C"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07FFBAAE" w14:textId="77777777" w:rsidTr="004A6248">
        <w:trPr>
          <w:trHeight w:val="20"/>
        </w:trPr>
        <w:tc>
          <w:tcPr>
            <w:tcW w:w="546" w:type="dxa"/>
            <w:shd w:val="clear" w:color="auto" w:fill="auto"/>
            <w:vAlign w:val="center"/>
            <w:hideMark/>
          </w:tcPr>
          <w:p w14:paraId="45323ECA"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11.1.2</w:t>
            </w:r>
          </w:p>
        </w:tc>
        <w:tc>
          <w:tcPr>
            <w:tcW w:w="1156" w:type="dxa"/>
            <w:shd w:val="clear" w:color="auto" w:fill="auto"/>
            <w:vAlign w:val="center"/>
            <w:hideMark/>
          </w:tcPr>
          <w:p w14:paraId="339FA154"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Controles de ingreso físicos</w:t>
            </w:r>
          </w:p>
        </w:tc>
        <w:tc>
          <w:tcPr>
            <w:tcW w:w="2551" w:type="dxa"/>
            <w:shd w:val="clear" w:color="auto" w:fill="auto"/>
            <w:vAlign w:val="center"/>
            <w:hideMark/>
          </w:tcPr>
          <w:p w14:paraId="0DFCD41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Las áreas seguras se deben proteger mediante controles de ingreso apropiados para asegurar que solamente se permite el acceso a personal autorizado.</w:t>
            </w:r>
          </w:p>
        </w:tc>
        <w:tc>
          <w:tcPr>
            <w:tcW w:w="826" w:type="dxa"/>
            <w:shd w:val="clear" w:color="000000" w:fill="008000"/>
            <w:vAlign w:val="center"/>
            <w:hideMark/>
          </w:tcPr>
          <w:p w14:paraId="3761D950"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3FDAB32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 Se tiene un perímetro de seguridad externo y se tienen definidas áreas seguras internas, como: </w:t>
            </w:r>
            <w:proofErr w:type="spellStart"/>
            <w:r w:rsidRPr="00795864">
              <w:rPr>
                <w:rFonts w:asciiTheme="majorHAnsi" w:eastAsia="Times New Roman" w:hAnsiTheme="majorHAnsi" w:cstheme="majorHAnsi"/>
                <w:color w:val="000000"/>
                <w:sz w:val="16"/>
                <w:szCs w:val="16"/>
                <w:lang w:val="es-CO" w:eastAsia="es-CO"/>
              </w:rPr>
              <w:t>DataCenter</w:t>
            </w:r>
            <w:proofErr w:type="spellEnd"/>
            <w:r w:rsidRPr="00795864">
              <w:rPr>
                <w:rFonts w:asciiTheme="majorHAnsi" w:eastAsia="Times New Roman" w:hAnsiTheme="majorHAnsi" w:cstheme="majorHAnsi"/>
                <w:color w:val="000000"/>
                <w:sz w:val="16"/>
                <w:szCs w:val="16"/>
                <w:lang w:val="es-CO" w:eastAsia="es-CO"/>
              </w:rPr>
              <w:t>, Bioterio, planta de sueros, laboratorios en general,  COE Centro operativo de emergencias, Tesorería y almacén los cuales cuentan con controles de acceso específicos gestionados por cada área.</w:t>
            </w:r>
            <w:r w:rsidRPr="00795864">
              <w:rPr>
                <w:rFonts w:asciiTheme="majorHAnsi" w:eastAsia="Times New Roman" w:hAnsiTheme="majorHAnsi" w:cstheme="majorHAnsi"/>
                <w:color w:val="000000"/>
                <w:sz w:val="16"/>
                <w:szCs w:val="16"/>
                <w:lang w:val="es-CO" w:eastAsia="es-CO"/>
              </w:rPr>
              <w:br/>
              <w:t>* Se cuenta con un servicio vigilancia privada, que consta de 8 guardas en sede principal, 1 en la hacienda, 1 en armero (finca).</w:t>
            </w:r>
            <w:r w:rsidRPr="00795864">
              <w:rPr>
                <w:rFonts w:asciiTheme="majorHAnsi" w:eastAsia="Times New Roman" w:hAnsiTheme="majorHAnsi" w:cstheme="majorHAnsi"/>
                <w:color w:val="000000"/>
                <w:sz w:val="16"/>
                <w:szCs w:val="16"/>
                <w:lang w:val="es-CO" w:eastAsia="es-CO"/>
              </w:rPr>
              <w:br/>
              <w:t xml:space="preserve">* También se cuenta con circuito cerrado de televisión, que consta de 78 cámaras, el cual es del tercero, ellos custodian los </w:t>
            </w:r>
            <w:proofErr w:type="spellStart"/>
            <w:r w:rsidRPr="00795864">
              <w:rPr>
                <w:rFonts w:asciiTheme="majorHAnsi" w:eastAsia="Times New Roman" w:hAnsiTheme="majorHAnsi" w:cstheme="majorHAnsi"/>
                <w:color w:val="000000"/>
                <w:sz w:val="16"/>
                <w:szCs w:val="16"/>
                <w:lang w:val="es-CO" w:eastAsia="es-CO"/>
              </w:rPr>
              <w:t>backups</w:t>
            </w:r>
            <w:proofErr w:type="spellEnd"/>
            <w:r w:rsidRPr="00795864">
              <w:rPr>
                <w:rFonts w:asciiTheme="majorHAnsi" w:eastAsia="Times New Roman" w:hAnsiTheme="majorHAnsi" w:cstheme="majorHAnsi"/>
                <w:color w:val="000000"/>
                <w:sz w:val="16"/>
                <w:szCs w:val="16"/>
                <w:lang w:val="es-CO" w:eastAsia="es-CO"/>
              </w:rPr>
              <w:t>, y el software de registro de acceso.</w:t>
            </w:r>
            <w:r w:rsidRPr="00795864">
              <w:rPr>
                <w:rFonts w:asciiTheme="majorHAnsi" w:eastAsia="Times New Roman" w:hAnsiTheme="majorHAnsi" w:cstheme="majorHAnsi"/>
                <w:color w:val="000000"/>
                <w:sz w:val="16"/>
                <w:szCs w:val="16"/>
                <w:lang w:val="es-CO" w:eastAsia="es-CO"/>
              </w:rPr>
              <w:br/>
              <w:t>* En la entrada se cuenta con Talanqueras que son del instituto, para acceso de funcionarios, los contratistas no cuenta con  tarjetas de acceso.</w:t>
            </w:r>
            <w:r w:rsidRPr="00795864">
              <w:rPr>
                <w:rFonts w:asciiTheme="majorHAnsi" w:eastAsia="Times New Roman" w:hAnsiTheme="majorHAnsi" w:cstheme="majorHAnsi"/>
                <w:color w:val="000000"/>
                <w:sz w:val="16"/>
                <w:szCs w:val="16"/>
                <w:lang w:val="es-CO" w:eastAsia="es-CO"/>
              </w:rPr>
              <w:br/>
              <w:t>* El archivo central tiene servicio de vigilancia, no tiene circuito cerrado de televisión, el archivo se encuentra  bajo llave, está ubicado en una zona insegura, ha tenido problemas de goteras.</w:t>
            </w:r>
          </w:p>
        </w:tc>
        <w:tc>
          <w:tcPr>
            <w:tcW w:w="1275" w:type="dxa"/>
            <w:shd w:val="clear" w:color="000000" w:fill="92D050"/>
            <w:vAlign w:val="center"/>
            <w:hideMark/>
          </w:tcPr>
          <w:p w14:paraId="4418620C"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SI</w:t>
            </w:r>
          </w:p>
        </w:tc>
        <w:tc>
          <w:tcPr>
            <w:tcW w:w="1276" w:type="dxa"/>
            <w:shd w:val="clear" w:color="000000" w:fill="0070C0"/>
            <w:vAlign w:val="center"/>
            <w:hideMark/>
          </w:tcPr>
          <w:p w14:paraId="76762FA3"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2F0E72C8"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5856322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recomienda revisar los controles implementados para garantizar el acceso seguro a las instalaciones únicamente por el personal autorizado, dejando registro de dicho acceso.</w:t>
            </w:r>
          </w:p>
        </w:tc>
        <w:tc>
          <w:tcPr>
            <w:tcW w:w="1843" w:type="dxa"/>
          </w:tcPr>
          <w:p w14:paraId="7DCEF7A7"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2F28EFA8" w14:textId="77777777" w:rsidTr="004A6248">
        <w:trPr>
          <w:trHeight w:val="20"/>
        </w:trPr>
        <w:tc>
          <w:tcPr>
            <w:tcW w:w="546" w:type="dxa"/>
            <w:shd w:val="clear" w:color="auto" w:fill="auto"/>
            <w:vAlign w:val="center"/>
            <w:hideMark/>
          </w:tcPr>
          <w:p w14:paraId="78A9662C"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11.1.3</w:t>
            </w:r>
          </w:p>
        </w:tc>
        <w:tc>
          <w:tcPr>
            <w:tcW w:w="1156" w:type="dxa"/>
            <w:shd w:val="clear" w:color="auto" w:fill="auto"/>
            <w:vAlign w:val="center"/>
            <w:hideMark/>
          </w:tcPr>
          <w:p w14:paraId="15C1925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Seguridad de oficinas, </w:t>
            </w:r>
            <w:r w:rsidRPr="00795864">
              <w:rPr>
                <w:rFonts w:asciiTheme="majorHAnsi" w:eastAsia="Times New Roman" w:hAnsiTheme="majorHAnsi" w:cstheme="majorHAnsi"/>
                <w:color w:val="000000"/>
                <w:sz w:val="16"/>
                <w:szCs w:val="16"/>
                <w:lang w:val="es-CO" w:eastAsia="es-CO"/>
              </w:rPr>
              <w:lastRenderedPageBreak/>
              <w:t>salones e instalaciones</w:t>
            </w:r>
          </w:p>
        </w:tc>
        <w:tc>
          <w:tcPr>
            <w:tcW w:w="2551" w:type="dxa"/>
            <w:shd w:val="clear" w:color="auto" w:fill="auto"/>
            <w:vAlign w:val="center"/>
            <w:hideMark/>
          </w:tcPr>
          <w:p w14:paraId="3E17938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lastRenderedPageBreak/>
              <w:t xml:space="preserve">Se debe diseñar y aplicar seguridad física a oficinas, salones e </w:t>
            </w:r>
            <w:r w:rsidRPr="00795864">
              <w:rPr>
                <w:rFonts w:asciiTheme="majorHAnsi" w:eastAsia="Times New Roman" w:hAnsiTheme="majorHAnsi" w:cstheme="majorHAnsi"/>
                <w:color w:val="000000"/>
                <w:sz w:val="16"/>
                <w:szCs w:val="16"/>
                <w:lang w:val="es-CO" w:eastAsia="es-CO"/>
              </w:rPr>
              <w:lastRenderedPageBreak/>
              <w:t>instalaciones.</w:t>
            </w:r>
          </w:p>
        </w:tc>
        <w:tc>
          <w:tcPr>
            <w:tcW w:w="826" w:type="dxa"/>
            <w:shd w:val="clear" w:color="000000" w:fill="008000"/>
            <w:vAlign w:val="center"/>
            <w:hideMark/>
          </w:tcPr>
          <w:p w14:paraId="29839B47"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lastRenderedPageBreak/>
              <w:t>Aplica</w:t>
            </w:r>
          </w:p>
        </w:tc>
        <w:tc>
          <w:tcPr>
            <w:tcW w:w="3569" w:type="dxa"/>
            <w:shd w:val="clear" w:color="auto" w:fill="auto"/>
            <w:vAlign w:val="center"/>
            <w:hideMark/>
          </w:tcPr>
          <w:p w14:paraId="38E8C896"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 Se tienen definidas áreas seguras internas, como: </w:t>
            </w:r>
            <w:proofErr w:type="spellStart"/>
            <w:r w:rsidRPr="00795864">
              <w:rPr>
                <w:rFonts w:asciiTheme="majorHAnsi" w:eastAsia="Times New Roman" w:hAnsiTheme="majorHAnsi" w:cstheme="majorHAnsi"/>
                <w:color w:val="000000"/>
                <w:sz w:val="16"/>
                <w:szCs w:val="16"/>
                <w:lang w:val="es-CO" w:eastAsia="es-CO"/>
              </w:rPr>
              <w:t>DataCenter</w:t>
            </w:r>
            <w:proofErr w:type="spellEnd"/>
            <w:r w:rsidRPr="00795864">
              <w:rPr>
                <w:rFonts w:asciiTheme="majorHAnsi" w:eastAsia="Times New Roman" w:hAnsiTheme="majorHAnsi" w:cstheme="majorHAnsi"/>
                <w:color w:val="000000"/>
                <w:sz w:val="16"/>
                <w:szCs w:val="16"/>
                <w:lang w:val="es-CO" w:eastAsia="es-CO"/>
              </w:rPr>
              <w:t xml:space="preserve">, Bioterio, planta de sueros, </w:t>
            </w:r>
            <w:r w:rsidRPr="00795864">
              <w:rPr>
                <w:rFonts w:asciiTheme="majorHAnsi" w:eastAsia="Times New Roman" w:hAnsiTheme="majorHAnsi" w:cstheme="majorHAnsi"/>
                <w:color w:val="000000"/>
                <w:sz w:val="16"/>
                <w:szCs w:val="16"/>
                <w:lang w:val="es-CO" w:eastAsia="es-CO"/>
              </w:rPr>
              <w:lastRenderedPageBreak/>
              <w:t>laboratorios en general, COE Centro operativo de emergencias, Tesorería y almacén los cuales cuentan con controles de acceso específicos gestionados por cada área.</w:t>
            </w:r>
            <w:r w:rsidRPr="00795864">
              <w:rPr>
                <w:rFonts w:asciiTheme="majorHAnsi" w:eastAsia="Times New Roman" w:hAnsiTheme="majorHAnsi" w:cstheme="majorHAnsi"/>
                <w:color w:val="000000"/>
                <w:sz w:val="16"/>
                <w:szCs w:val="16"/>
                <w:lang w:val="es-CO" w:eastAsia="es-CO"/>
              </w:rPr>
              <w:br/>
              <w:t>* El resto cuenta con llave para el control de acceso.</w:t>
            </w:r>
          </w:p>
        </w:tc>
        <w:tc>
          <w:tcPr>
            <w:tcW w:w="1275" w:type="dxa"/>
            <w:shd w:val="clear" w:color="000000" w:fill="92D050"/>
            <w:vAlign w:val="center"/>
            <w:hideMark/>
          </w:tcPr>
          <w:p w14:paraId="5563FB82"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lastRenderedPageBreak/>
              <w:t>SI</w:t>
            </w:r>
          </w:p>
        </w:tc>
        <w:tc>
          <w:tcPr>
            <w:tcW w:w="1276" w:type="dxa"/>
            <w:shd w:val="clear" w:color="000000" w:fill="0070C0"/>
            <w:vAlign w:val="center"/>
            <w:hideMark/>
          </w:tcPr>
          <w:p w14:paraId="77B47BF8"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6204DFD0"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700B1F2D"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Se recomienda revisar los controles implementados para garantizar el acceso seguro a las instalaciones </w:t>
            </w:r>
            <w:r w:rsidRPr="00795864">
              <w:rPr>
                <w:rFonts w:asciiTheme="majorHAnsi" w:eastAsia="Times New Roman" w:hAnsiTheme="majorHAnsi" w:cstheme="majorHAnsi"/>
                <w:color w:val="000000"/>
                <w:sz w:val="16"/>
                <w:szCs w:val="16"/>
                <w:lang w:val="es-CO" w:eastAsia="es-CO"/>
              </w:rPr>
              <w:lastRenderedPageBreak/>
              <w:t>únicamente por el personal autorizado, dejando registro de dicho acceso.</w:t>
            </w:r>
          </w:p>
        </w:tc>
        <w:tc>
          <w:tcPr>
            <w:tcW w:w="1843" w:type="dxa"/>
          </w:tcPr>
          <w:p w14:paraId="75B801C6"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0219C446" w14:textId="77777777" w:rsidTr="004A6248">
        <w:trPr>
          <w:trHeight w:val="20"/>
        </w:trPr>
        <w:tc>
          <w:tcPr>
            <w:tcW w:w="546" w:type="dxa"/>
            <w:shd w:val="clear" w:color="auto" w:fill="auto"/>
            <w:vAlign w:val="center"/>
            <w:hideMark/>
          </w:tcPr>
          <w:p w14:paraId="507EDB12"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11.1.4</w:t>
            </w:r>
          </w:p>
        </w:tc>
        <w:tc>
          <w:tcPr>
            <w:tcW w:w="1156" w:type="dxa"/>
            <w:shd w:val="clear" w:color="auto" w:fill="auto"/>
            <w:vAlign w:val="center"/>
            <w:hideMark/>
          </w:tcPr>
          <w:p w14:paraId="2DA70F9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Protección contra amenazas externas y ambientales</w:t>
            </w:r>
          </w:p>
        </w:tc>
        <w:tc>
          <w:tcPr>
            <w:tcW w:w="2551" w:type="dxa"/>
            <w:shd w:val="clear" w:color="auto" w:fill="auto"/>
            <w:vAlign w:val="center"/>
            <w:hideMark/>
          </w:tcPr>
          <w:p w14:paraId="7D0EDE36"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 diseñar y aplicar protección física contra desastres naturales, ataques maliciosos o accidentes.</w:t>
            </w:r>
          </w:p>
        </w:tc>
        <w:tc>
          <w:tcPr>
            <w:tcW w:w="826" w:type="dxa"/>
            <w:shd w:val="clear" w:color="000000" w:fill="008000"/>
            <w:vAlign w:val="center"/>
            <w:hideMark/>
          </w:tcPr>
          <w:p w14:paraId="3E6FB833"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5EFA5CA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El INS cuenta con plantas y UPS que entran en funcionamiento ante la ausencia de energía eléctrica.</w:t>
            </w:r>
            <w:r w:rsidRPr="00795864">
              <w:rPr>
                <w:rFonts w:asciiTheme="majorHAnsi" w:eastAsia="Times New Roman" w:hAnsiTheme="majorHAnsi" w:cstheme="majorHAnsi"/>
                <w:color w:val="000000"/>
                <w:sz w:val="16"/>
                <w:szCs w:val="16"/>
                <w:lang w:val="es-CO" w:eastAsia="es-CO"/>
              </w:rPr>
              <w:br/>
              <w:t>*Adicionalmente cuenta con planes de emergencia, así como con un programa de calidad de vertimientos, uso de agua, gestión de residuos, uso racional de energía, aire limpia, protección fauna y flora, control de plagas.</w:t>
            </w:r>
            <w:r w:rsidRPr="00795864">
              <w:rPr>
                <w:rFonts w:asciiTheme="majorHAnsi" w:eastAsia="Times New Roman" w:hAnsiTheme="majorHAnsi" w:cstheme="majorHAnsi"/>
                <w:color w:val="000000"/>
                <w:sz w:val="16"/>
                <w:szCs w:val="16"/>
                <w:lang w:val="es-CO" w:eastAsia="es-CO"/>
              </w:rPr>
              <w:br/>
              <w:t xml:space="preserve">* Actualmente no cuenta con un </w:t>
            </w:r>
            <w:proofErr w:type="spellStart"/>
            <w:r w:rsidRPr="00795864">
              <w:rPr>
                <w:rFonts w:asciiTheme="majorHAnsi" w:eastAsia="Times New Roman" w:hAnsiTheme="majorHAnsi" w:cstheme="majorHAnsi"/>
                <w:color w:val="000000"/>
                <w:sz w:val="16"/>
                <w:szCs w:val="16"/>
                <w:lang w:val="es-CO" w:eastAsia="es-CO"/>
              </w:rPr>
              <w:t>DataCenter</w:t>
            </w:r>
            <w:proofErr w:type="spellEnd"/>
            <w:r w:rsidRPr="00795864">
              <w:rPr>
                <w:rFonts w:asciiTheme="majorHAnsi" w:eastAsia="Times New Roman" w:hAnsiTheme="majorHAnsi" w:cstheme="majorHAnsi"/>
                <w:color w:val="000000"/>
                <w:sz w:val="16"/>
                <w:szCs w:val="16"/>
                <w:lang w:val="es-CO" w:eastAsia="es-CO"/>
              </w:rPr>
              <w:t xml:space="preserve"> alterno, ni un centro alterno de operaciones.</w:t>
            </w:r>
          </w:p>
        </w:tc>
        <w:tc>
          <w:tcPr>
            <w:tcW w:w="1275" w:type="dxa"/>
            <w:shd w:val="clear" w:color="000000" w:fill="E26B0A"/>
            <w:vAlign w:val="center"/>
            <w:hideMark/>
          </w:tcPr>
          <w:p w14:paraId="45C19AF5"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FFFF00"/>
            <w:vAlign w:val="center"/>
            <w:hideMark/>
          </w:tcPr>
          <w:p w14:paraId="2F62817F"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Repetible</w:t>
            </w:r>
          </w:p>
        </w:tc>
        <w:tc>
          <w:tcPr>
            <w:tcW w:w="851" w:type="dxa"/>
            <w:shd w:val="clear" w:color="auto" w:fill="auto"/>
            <w:vAlign w:val="center"/>
            <w:hideMark/>
          </w:tcPr>
          <w:p w14:paraId="710EAC77"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40%</w:t>
            </w:r>
          </w:p>
        </w:tc>
        <w:tc>
          <w:tcPr>
            <w:tcW w:w="3827" w:type="dxa"/>
            <w:shd w:val="clear" w:color="auto" w:fill="auto"/>
            <w:vAlign w:val="center"/>
            <w:hideMark/>
          </w:tcPr>
          <w:p w14:paraId="5AFB4E6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recomienda que se implementen los controles necesarios para mitigar incendios, inundaciones, así como aquellos que le permitan al INS estar preparado contra desastres naturales, como: plan de recuperación de desastre tecnológicos, plan de continuidad del negocio y plan de emergencias.</w:t>
            </w:r>
          </w:p>
        </w:tc>
        <w:tc>
          <w:tcPr>
            <w:tcW w:w="1843" w:type="dxa"/>
          </w:tcPr>
          <w:p w14:paraId="75FCE63E"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659BA290" w14:textId="77777777" w:rsidTr="004A6248">
        <w:trPr>
          <w:trHeight w:val="20"/>
        </w:trPr>
        <w:tc>
          <w:tcPr>
            <w:tcW w:w="546" w:type="dxa"/>
            <w:shd w:val="clear" w:color="auto" w:fill="auto"/>
            <w:vAlign w:val="center"/>
            <w:hideMark/>
          </w:tcPr>
          <w:p w14:paraId="318B6CB3"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11.1.5</w:t>
            </w:r>
          </w:p>
        </w:tc>
        <w:tc>
          <w:tcPr>
            <w:tcW w:w="1156" w:type="dxa"/>
            <w:shd w:val="clear" w:color="auto" w:fill="auto"/>
            <w:vAlign w:val="center"/>
            <w:hideMark/>
          </w:tcPr>
          <w:p w14:paraId="4CD5DC81"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Trabajo en áreas seguras</w:t>
            </w:r>
          </w:p>
        </w:tc>
        <w:tc>
          <w:tcPr>
            <w:tcW w:w="2551" w:type="dxa"/>
            <w:shd w:val="clear" w:color="auto" w:fill="auto"/>
            <w:vAlign w:val="center"/>
            <w:hideMark/>
          </w:tcPr>
          <w:p w14:paraId="43792AA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diseñar y aplicar procedimientos para trabajo en áreas seguras.</w:t>
            </w:r>
          </w:p>
        </w:tc>
        <w:tc>
          <w:tcPr>
            <w:tcW w:w="826" w:type="dxa"/>
            <w:shd w:val="clear" w:color="000000" w:fill="008000"/>
            <w:vAlign w:val="center"/>
            <w:hideMark/>
          </w:tcPr>
          <w:p w14:paraId="1A668185"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698382E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 Se tienen definidos procedimientos para el acceso a áreas seguras como: </w:t>
            </w:r>
            <w:proofErr w:type="spellStart"/>
            <w:r w:rsidRPr="00795864">
              <w:rPr>
                <w:rFonts w:asciiTheme="majorHAnsi" w:eastAsia="Times New Roman" w:hAnsiTheme="majorHAnsi" w:cstheme="majorHAnsi"/>
                <w:color w:val="000000"/>
                <w:sz w:val="16"/>
                <w:szCs w:val="16"/>
                <w:lang w:val="es-CO" w:eastAsia="es-CO"/>
              </w:rPr>
              <w:t>DataCenter</w:t>
            </w:r>
            <w:proofErr w:type="spellEnd"/>
            <w:r w:rsidRPr="00795864">
              <w:rPr>
                <w:rFonts w:asciiTheme="majorHAnsi" w:eastAsia="Times New Roman" w:hAnsiTheme="majorHAnsi" w:cstheme="majorHAnsi"/>
                <w:color w:val="000000"/>
                <w:sz w:val="16"/>
                <w:szCs w:val="16"/>
                <w:lang w:val="es-CO" w:eastAsia="es-CO"/>
              </w:rPr>
              <w:t>, Bioterio, planta de sueros, laboratorios en general, COE Centro operativo de emergencias, los cuales están gestionados por cada área.</w:t>
            </w:r>
            <w:r w:rsidRPr="00795864">
              <w:rPr>
                <w:rFonts w:asciiTheme="majorHAnsi" w:eastAsia="Times New Roman" w:hAnsiTheme="majorHAnsi" w:cstheme="majorHAnsi"/>
                <w:color w:val="000000"/>
                <w:sz w:val="16"/>
                <w:szCs w:val="16"/>
                <w:lang w:val="es-CO" w:eastAsia="es-CO"/>
              </w:rPr>
              <w:br/>
              <w:t>* Existen otras zonas seguras que no tienen definido dichos procedimientos.</w:t>
            </w:r>
          </w:p>
        </w:tc>
        <w:tc>
          <w:tcPr>
            <w:tcW w:w="1275" w:type="dxa"/>
            <w:shd w:val="clear" w:color="000000" w:fill="E26B0A"/>
            <w:vAlign w:val="center"/>
            <w:hideMark/>
          </w:tcPr>
          <w:p w14:paraId="75421C4D"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FFFF00"/>
            <w:vAlign w:val="center"/>
            <w:hideMark/>
          </w:tcPr>
          <w:p w14:paraId="0444B940"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Repetible</w:t>
            </w:r>
          </w:p>
        </w:tc>
        <w:tc>
          <w:tcPr>
            <w:tcW w:w="851" w:type="dxa"/>
            <w:shd w:val="clear" w:color="auto" w:fill="auto"/>
            <w:vAlign w:val="center"/>
            <w:hideMark/>
          </w:tcPr>
          <w:p w14:paraId="5B8388B7"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40%</w:t>
            </w:r>
          </w:p>
        </w:tc>
        <w:tc>
          <w:tcPr>
            <w:tcW w:w="3827" w:type="dxa"/>
            <w:shd w:val="clear" w:color="auto" w:fill="auto"/>
            <w:vAlign w:val="center"/>
            <w:hideMark/>
          </w:tcPr>
          <w:p w14:paraId="6020C4B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recomienda revisar los controles implementados para garantizar el acceso seguro a las instalaciones únicamente por el personal autorizado, dejando registro de dicho acceso.</w:t>
            </w:r>
          </w:p>
        </w:tc>
        <w:tc>
          <w:tcPr>
            <w:tcW w:w="1843" w:type="dxa"/>
          </w:tcPr>
          <w:p w14:paraId="6427CACA"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7633ED9C" w14:textId="77777777" w:rsidTr="004A6248">
        <w:trPr>
          <w:trHeight w:val="1370"/>
        </w:trPr>
        <w:tc>
          <w:tcPr>
            <w:tcW w:w="546" w:type="dxa"/>
            <w:shd w:val="clear" w:color="auto" w:fill="auto"/>
            <w:vAlign w:val="center"/>
            <w:hideMark/>
          </w:tcPr>
          <w:p w14:paraId="1EB85FD5"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11.1.6</w:t>
            </w:r>
          </w:p>
        </w:tc>
        <w:tc>
          <w:tcPr>
            <w:tcW w:w="1156" w:type="dxa"/>
            <w:shd w:val="clear" w:color="auto" w:fill="auto"/>
            <w:vAlign w:val="center"/>
            <w:hideMark/>
          </w:tcPr>
          <w:p w14:paraId="224128F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Áreas de despacho y carga</w:t>
            </w:r>
          </w:p>
        </w:tc>
        <w:tc>
          <w:tcPr>
            <w:tcW w:w="2551" w:type="dxa"/>
            <w:shd w:val="clear" w:color="auto" w:fill="auto"/>
            <w:vAlign w:val="center"/>
            <w:hideMark/>
          </w:tcPr>
          <w:p w14:paraId="38CDB3F2" w14:textId="77777777" w:rsidR="004A6248"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controlar los puntos de acceso tales como áreas de despacho y de carga y otros puntos en donde pueden entrar personas no autorizadas, y si es posible, aislarlos de las instalaciones de procesamiento de información para evitar el acceso no autorizado.</w:t>
            </w:r>
          </w:p>
          <w:p w14:paraId="467D1C70" w14:textId="77777777" w:rsidR="004A6248" w:rsidRPr="007314C7" w:rsidRDefault="004A6248" w:rsidP="000F099B">
            <w:pPr>
              <w:pStyle w:val="Sinespaciado"/>
              <w:rPr>
                <w:lang w:val="es-CO" w:eastAsia="es-CO"/>
              </w:rPr>
            </w:pPr>
          </w:p>
        </w:tc>
        <w:tc>
          <w:tcPr>
            <w:tcW w:w="826" w:type="dxa"/>
            <w:shd w:val="clear" w:color="000000" w:fill="008000"/>
            <w:vAlign w:val="center"/>
            <w:hideMark/>
          </w:tcPr>
          <w:p w14:paraId="48B8C024"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72AFFB8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Las áreas de despacho y carga son controladas por el servicio de vigilancia privada y el grupo de instalaciones</w:t>
            </w:r>
          </w:p>
        </w:tc>
        <w:tc>
          <w:tcPr>
            <w:tcW w:w="1275" w:type="dxa"/>
            <w:shd w:val="clear" w:color="000000" w:fill="92D050"/>
            <w:vAlign w:val="center"/>
            <w:hideMark/>
          </w:tcPr>
          <w:p w14:paraId="6451F4DC"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SI</w:t>
            </w:r>
          </w:p>
        </w:tc>
        <w:tc>
          <w:tcPr>
            <w:tcW w:w="1276" w:type="dxa"/>
            <w:shd w:val="clear" w:color="000000" w:fill="0070C0"/>
            <w:vAlign w:val="center"/>
            <w:hideMark/>
          </w:tcPr>
          <w:p w14:paraId="372B9562"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1E0E94F0"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307487D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recomienda revisar los controles implementados para garantizar el acceso seguro a las instalaciones únicamente por el personal autorizado, dejando registro de dicho acceso.</w:t>
            </w:r>
          </w:p>
        </w:tc>
        <w:tc>
          <w:tcPr>
            <w:tcW w:w="1843" w:type="dxa"/>
          </w:tcPr>
          <w:p w14:paraId="018C15FB"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2A6CF83C" w14:textId="77777777" w:rsidTr="004A6248">
        <w:trPr>
          <w:trHeight w:val="20"/>
        </w:trPr>
        <w:tc>
          <w:tcPr>
            <w:tcW w:w="546" w:type="dxa"/>
            <w:shd w:val="clear" w:color="000000" w:fill="538DD5"/>
            <w:vAlign w:val="center"/>
            <w:hideMark/>
          </w:tcPr>
          <w:p w14:paraId="412F790D"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11.2</w:t>
            </w:r>
          </w:p>
        </w:tc>
        <w:tc>
          <w:tcPr>
            <w:tcW w:w="10653" w:type="dxa"/>
            <w:gridSpan w:val="6"/>
            <w:shd w:val="clear" w:color="000000" w:fill="538DD5"/>
            <w:vAlign w:val="center"/>
            <w:hideMark/>
          </w:tcPr>
          <w:p w14:paraId="5543C502"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Equipos</w:t>
            </w:r>
          </w:p>
        </w:tc>
        <w:tc>
          <w:tcPr>
            <w:tcW w:w="851" w:type="dxa"/>
            <w:shd w:val="clear" w:color="000000" w:fill="538DD5"/>
            <w:vAlign w:val="center"/>
            <w:hideMark/>
          </w:tcPr>
          <w:p w14:paraId="23E9BD0A"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51%</w:t>
            </w:r>
          </w:p>
        </w:tc>
        <w:tc>
          <w:tcPr>
            <w:tcW w:w="3827" w:type="dxa"/>
            <w:shd w:val="clear" w:color="000000" w:fill="538DD5"/>
            <w:vAlign w:val="center"/>
            <w:hideMark/>
          </w:tcPr>
          <w:p w14:paraId="5905DDE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511EECBD"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6B7030F6" w14:textId="77777777" w:rsidTr="004A6248">
        <w:trPr>
          <w:trHeight w:val="20"/>
        </w:trPr>
        <w:tc>
          <w:tcPr>
            <w:tcW w:w="546" w:type="dxa"/>
            <w:shd w:val="clear" w:color="000000" w:fill="538DD5"/>
            <w:vAlign w:val="center"/>
            <w:hideMark/>
          </w:tcPr>
          <w:p w14:paraId="317BED04"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7A407669"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Prevenir la pérdida, daño, robo o compromiso de activos, y la interrupción de las operaciones de la organización.</w:t>
            </w:r>
          </w:p>
        </w:tc>
        <w:tc>
          <w:tcPr>
            <w:tcW w:w="851" w:type="dxa"/>
            <w:shd w:val="clear" w:color="000000" w:fill="538DD5"/>
            <w:vAlign w:val="center"/>
            <w:hideMark/>
          </w:tcPr>
          <w:p w14:paraId="160B90AF"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3827" w:type="dxa"/>
            <w:shd w:val="clear" w:color="000000" w:fill="538DD5"/>
            <w:vAlign w:val="center"/>
            <w:hideMark/>
          </w:tcPr>
          <w:p w14:paraId="54BA4AD6"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09D5D59A"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54ECA521" w14:textId="77777777" w:rsidTr="004A6248">
        <w:trPr>
          <w:trHeight w:val="20"/>
        </w:trPr>
        <w:tc>
          <w:tcPr>
            <w:tcW w:w="546" w:type="dxa"/>
            <w:shd w:val="clear" w:color="auto" w:fill="auto"/>
            <w:vAlign w:val="center"/>
            <w:hideMark/>
          </w:tcPr>
          <w:p w14:paraId="4A133A2A"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11.2.1</w:t>
            </w:r>
          </w:p>
        </w:tc>
        <w:tc>
          <w:tcPr>
            <w:tcW w:w="1156" w:type="dxa"/>
            <w:shd w:val="clear" w:color="auto" w:fill="auto"/>
            <w:vAlign w:val="center"/>
            <w:hideMark/>
          </w:tcPr>
          <w:p w14:paraId="5EAB2D34"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Ubicación y protección de los equipos</w:t>
            </w:r>
          </w:p>
        </w:tc>
        <w:tc>
          <w:tcPr>
            <w:tcW w:w="2551" w:type="dxa"/>
            <w:shd w:val="clear" w:color="auto" w:fill="auto"/>
            <w:vAlign w:val="center"/>
            <w:hideMark/>
          </w:tcPr>
          <w:p w14:paraId="67F21CD3"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equipos deben estar ubicados y protegidos para reducir los riesgos de amenazas y peligros ambientales, y las posibilidades de acceso no autorizado.</w:t>
            </w:r>
          </w:p>
        </w:tc>
        <w:tc>
          <w:tcPr>
            <w:tcW w:w="826" w:type="dxa"/>
            <w:shd w:val="clear" w:color="000000" w:fill="008000"/>
            <w:vAlign w:val="center"/>
            <w:hideMark/>
          </w:tcPr>
          <w:p w14:paraId="4E48AAEF"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54D27C53"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La mayoría de los equipos asignados a los funcionarios y contratistas son equipos de escritorio, los cuales no tienen guaya para prevenir robos.</w:t>
            </w:r>
            <w:r w:rsidRPr="00795864">
              <w:rPr>
                <w:rFonts w:asciiTheme="majorHAnsi" w:eastAsia="Times New Roman" w:hAnsiTheme="majorHAnsi" w:cstheme="majorHAnsi"/>
                <w:color w:val="000000"/>
                <w:sz w:val="16"/>
                <w:szCs w:val="16"/>
                <w:lang w:val="es-CO" w:eastAsia="es-CO"/>
              </w:rPr>
              <w:br/>
              <w:t xml:space="preserve">* Por otra parte los servidores se encuentran ubicados en el </w:t>
            </w:r>
            <w:proofErr w:type="spellStart"/>
            <w:r w:rsidRPr="00795864">
              <w:rPr>
                <w:rFonts w:asciiTheme="majorHAnsi" w:eastAsia="Times New Roman" w:hAnsiTheme="majorHAnsi" w:cstheme="majorHAnsi"/>
                <w:color w:val="000000"/>
                <w:sz w:val="16"/>
                <w:szCs w:val="16"/>
                <w:lang w:val="es-CO" w:eastAsia="es-CO"/>
              </w:rPr>
              <w:t>DataCenter</w:t>
            </w:r>
            <w:proofErr w:type="spellEnd"/>
            <w:r w:rsidRPr="00795864">
              <w:rPr>
                <w:rFonts w:asciiTheme="majorHAnsi" w:eastAsia="Times New Roman" w:hAnsiTheme="majorHAnsi" w:cstheme="majorHAnsi"/>
                <w:color w:val="000000"/>
                <w:sz w:val="16"/>
                <w:szCs w:val="16"/>
                <w:lang w:val="es-CO" w:eastAsia="es-CO"/>
              </w:rPr>
              <w:t xml:space="preserve"> que es un área segura con control de acceso.</w:t>
            </w:r>
          </w:p>
        </w:tc>
        <w:tc>
          <w:tcPr>
            <w:tcW w:w="1275" w:type="dxa"/>
            <w:shd w:val="clear" w:color="000000" w:fill="E26B0A"/>
            <w:vAlign w:val="center"/>
            <w:hideMark/>
          </w:tcPr>
          <w:p w14:paraId="29F84C67"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70C0"/>
            <w:vAlign w:val="center"/>
            <w:hideMark/>
          </w:tcPr>
          <w:p w14:paraId="3597D380"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1C99A54D"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4D673F9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recomienda revisar los controles implementados para garantizar el acceso seguro a las instalaciones únicamente por el personal autorizado, dejando registro de dicho acceso.</w:t>
            </w:r>
          </w:p>
        </w:tc>
        <w:tc>
          <w:tcPr>
            <w:tcW w:w="1843" w:type="dxa"/>
          </w:tcPr>
          <w:p w14:paraId="0D0005D6"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47016A7D" w14:textId="77777777" w:rsidTr="004A6248">
        <w:trPr>
          <w:trHeight w:val="20"/>
        </w:trPr>
        <w:tc>
          <w:tcPr>
            <w:tcW w:w="546" w:type="dxa"/>
            <w:shd w:val="clear" w:color="auto" w:fill="auto"/>
            <w:vAlign w:val="center"/>
            <w:hideMark/>
          </w:tcPr>
          <w:p w14:paraId="1587BA48"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11.2.2</w:t>
            </w:r>
          </w:p>
        </w:tc>
        <w:tc>
          <w:tcPr>
            <w:tcW w:w="1156" w:type="dxa"/>
            <w:shd w:val="clear" w:color="auto" w:fill="auto"/>
            <w:vAlign w:val="center"/>
            <w:hideMark/>
          </w:tcPr>
          <w:p w14:paraId="13022716"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Servicios de suministro</w:t>
            </w:r>
          </w:p>
        </w:tc>
        <w:tc>
          <w:tcPr>
            <w:tcW w:w="2551" w:type="dxa"/>
            <w:shd w:val="clear" w:color="auto" w:fill="auto"/>
            <w:vAlign w:val="center"/>
            <w:hideMark/>
          </w:tcPr>
          <w:p w14:paraId="54A2430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Los equipos deben estar protegidos contra fallas de energía </w:t>
            </w:r>
            <w:r w:rsidRPr="00795864">
              <w:rPr>
                <w:rFonts w:asciiTheme="majorHAnsi" w:eastAsia="Times New Roman" w:hAnsiTheme="majorHAnsi" w:cstheme="majorHAnsi"/>
                <w:color w:val="000000"/>
                <w:sz w:val="16"/>
                <w:szCs w:val="16"/>
                <w:lang w:val="es-CO" w:eastAsia="es-CO"/>
              </w:rPr>
              <w:lastRenderedPageBreak/>
              <w:t>y otras interrupciones causadas por fallas en los servicios de suministro.</w:t>
            </w:r>
          </w:p>
        </w:tc>
        <w:tc>
          <w:tcPr>
            <w:tcW w:w="826" w:type="dxa"/>
            <w:shd w:val="clear" w:color="000000" w:fill="008000"/>
            <w:vAlign w:val="center"/>
            <w:hideMark/>
          </w:tcPr>
          <w:p w14:paraId="6FF2E4D8"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lastRenderedPageBreak/>
              <w:t>Aplica</w:t>
            </w:r>
          </w:p>
        </w:tc>
        <w:tc>
          <w:tcPr>
            <w:tcW w:w="3569" w:type="dxa"/>
            <w:shd w:val="clear" w:color="auto" w:fill="auto"/>
            <w:vAlign w:val="center"/>
            <w:hideMark/>
          </w:tcPr>
          <w:p w14:paraId="5442293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 El INS cuenta con plantas y UPS que entran en funcionamiento ante la ausencia de energía </w:t>
            </w:r>
            <w:r w:rsidRPr="00795864">
              <w:rPr>
                <w:rFonts w:asciiTheme="majorHAnsi" w:eastAsia="Times New Roman" w:hAnsiTheme="majorHAnsi" w:cstheme="majorHAnsi"/>
                <w:color w:val="000000"/>
                <w:sz w:val="16"/>
                <w:szCs w:val="16"/>
                <w:lang w:val="es-CO" w:eastAsia="es-CO"/>
              </w:rPr>
              <w:lastRenderedPageBreak/>
              <w:t>eléctrica.</w:t>
            </w:r>
            <w:r w:rsidRPr="00795864">
              <w:rPr>
                <w:rFonts w:asciiTheme="majorHAnsi" w:eastAsia="Times New Roman" w:hAnsiTheme="majorHAnsi" w:cstheme="majorHAnsi"/>
                <w:color w:val="000000"/>
                <w:sz w:val="16"/>
                <w:szCs w:val="16"/>
                <w:lang w:val="es-CO" w:eastAsia="es-CO"/>
              </w:rPr>
              <w:br/>
              <w:t xml:space="preserve">* El </w:t>
            </w:r>
            <w:proofErr w:type="spellStart"/>
            <w:r w:rsidRPr="00795864">
              <w:rPr>
                <w:rFonts w:asciiTheme="majorHAnsi" w:eastAsia="Times New Roman" w:hAnsiTheme="majorHAnsi" w:cstheme="majorHAnsi"/>
                <w:color w:val="000000"/>
                <w:sz w:val="16"/>
                <w:szCs w:val="16"/>
                <w:lang w:val="es-CO" w:eastAsia="es-CO"/>
              </w:rPr>
              <w:t>DataCenter</w:t>
            </w:r>
            <w:proofErr w:type="spellEnd"/>
            <w:r w:rsidRPr="00795864">
              <w:rPr>
                <w:rFonts w:asciiTheme="majorHAnsi" w:eastAsia="Times New Roman" w:hAnsiTheme="majorHAnsi" w:cstheme="majorHAnsi"/>
                <w:color w:val="000000"/>
                <w:sz w:val="16"/>
                <w:szCs w:val="16"/>
                <w:lang w:val="es-CO" w:eastAsia="es-CO"/>
              </w:rPr>
              <w:t xml:space="preserve"> actualmente tiene problemas con el aire acondicionado y con el sistema contraincendios.</w:t>
            </w:r>
            <w:r w:rsidRPr="00795864">
              <w:rPr>
                <w:rFonts w:asciiTheme="majorHAnsi" w:eastAsia="Times New Roman" w:hAnsiTheme="majorHAnsi" w:cstheme="majorHAnsi"/>
                <w:color w:val="000000"/>
                <w:sz w:val="16"/>
                <w:szCs w:val="16"/>
                <w:lang w:val="es-CO" w:eastAsia="es-CO"/>
              </w:rPr>
              <w:br/>
              <w:t xml:space="preserve">* El </w:t>
            </w:r>
            <w:proofErr w:type="spellStart"/>
            <w:r w:rsidRPr="00795864">
              <w:rPr>
                <w:rFonts w:asciiTheme="majorHAnsi" w:eastAsia="Times New Roman" w:hAnsiTheme="majorHAnsi" w:cstheme="majorHAnsi"/>
                <w:color w:val="000000"/>
                <w:sz w:val="16"/>
                <w:szCs w:val="16"/>
                <w:lang w:val="es-CO" w:eastAsia="es-CO"/>
              </w:rPr>
              <w:t>DataCenter</w:t>
            </w:r>
            <w:proofErr w:type="spellEnd"/>
            <w:r w:rsidRPr="00795864">
              <w:rPr>
                <w:rFonts w:asciiTheme="majorHAnsi" w:eastAsia="Times New Roman" w:hAnsiTheme="majorHAnsi" w:cstheme="majorHAnsi"/>
                <w:color w:val="000000"/>
                <w:sz w:val="16"/>
                <w:szCs w:val="16"/>
                <w:lang w:val="es-CO" w:eastAsia="es-CO"/>
              </w:rPr>
              <w:t>, tiene control de acceso con tarjeta y huella (formato de ingreso), no se tienen cámaras.</w:t>
            </w:r>
            <w:r w:rsidRPr="00795864">
              <w:rPr>
                <w:rFonts w:asciiTheme="majorHAnsi" w:eastAsia="Times New Roman" w:hAnsiTheme="majorHAnsi" w:cstheme="majorHAnsi"/>
                <w:color w:val="000000"/>
                <w:sz w:val="16"/>
                <w:szCs w:val="16"/>
                <w:lang w:val="es-CO" w:eastAsia="es-CO"/>
              </w:rPr>
              <w:br/>
              <w:t>* Única acometida eléctrica con circuitos eléctricos independientes.</w:t>
            </w:r>
          </w:p>
        </w:tc>
        <w:tc>
          <w:tcPr>
            <w:tcW w:w="1275" w:type="dxa"/>
            <w:shd w:val="clear" w:color="000000" w:fill="E26B0A"/>
            <w:vAlign w:val="center"/>
            <w:hideMark/>
          </w:tcPr>
          <w:p w14:paraId="09349288"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lastRenderedPageBreak/>
              <w:t>PARCIAL</w:t>
            </w:r>
          </w:p>
        </w:tc>
        <w:tc>
          <w:tcPr>
            <w:tcW w:w="1276" w:type="dxa"/>
            <w:shd w:val="clear" w:color="000000" w:fill="FFFF00"/>
            <w:vAlign w:val="center"/>
            <w:hideMark/>
          </w:tcPr>
          <w:p w14:paraId="40E61391"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Repetible</w:t>
            </w:r>
          </w:p>
        </w:tc>
        <w:tc>
          <w:tcPr>
            <w:tcW w:w="851" w:type="dxa"/>
            <w:shd w:val="clear" w:color="auto" w:fill="auto"/>
            <w:vAlign w:val="center"/>
            <w:hideMark/>
          </w:tcPr>
          <w:p w14:paraId="5589894D"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40%</w:t>
            </w:r>
          </w:p>
        </w:tc>
        <w:tc>
          <w:tcPr>
            <w:tcW w:w="3827" w:type="dxa"/>
            <w:shd w:val="clear" w:color="auto" w:fill="auto"/>
            <w:vAlign w:val="center"/>
            <w:hideMark/>
          </w:tcPr>
          <w:p w14:paraId="186530D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Se deben definir políticas donde se establezca que elementos prioritarios, como: Aires acondicionados, </w:t>
            </w:r>
            <w:r w:rsidRPr="00795864">
              <w:rPr>
                <w:rFonts w:asciiTheme="majorHAnsi" w:eastAsia="Times New Roman" w:hAnsiTheme="majorHAnsi" w:cstheme="majorHAnsi"/>
                <w:color w:val="000000"/>
                <w:sz w:val="16"/>
                <w:szCs w:val="16"/>
                <w:lang w:val="es-CO" w:eastAsia="es-CO"/>
              </w:rPr>
              <w:lastRenderedPageBreak/>
              <w:t>plantas eléctricas, UPS, sistema contra incendios cuenten con un plan de mantenimiento preventivo y correctivo adecuado que garanticen una operacional apropiada de dichos elementos.</w:t>
            </w:r>
          </w:p>
        </w:tc>
        <w:tc>
          <w:tcPr>
            <w:tcW w:w="1843" w:type="dxa"/>
          </w:tcPr>
          <w:p w14:paraId="7D0F1765"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1A3BAF47" w14:textId="77777777" w:rsidTr="004A6248">
        <w:trPr>
          <w:trHeight w:val="20"/>
        </w:trPr>
        <w:tc>
          <w:tcPr>
            <w:tcW w:w="546" w:type="dxa"/>
            <w:shd w:val="clear" w:color="auto" w:fill="auto"/>
            <w:vAlign w:val="center"/>
            <w:hideMark/>
          </w:tcPr>
          <w:p w14:paraId="1C5F0D5C"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11.2.3</w:t>
            </w:r>
          </w:p>
        </w:tc>
        <w:tc>
          <w:tcPr>
            <w:tcW w:w="1156" w:type="dxa"/>
            <w:shd w:val="clear" w:color="auto" w:fill="auto"/>
            <w:vAlign w:val="center"/>
            <w:hideMark/>
          </w:tcPr>
          <w:p w14:paraId="059054F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Seguridad del cableado</w:t>
            </w:r>
          </w:p>
        </w:tc>
        <w:tc>
          <w:tcPr>
            <w:tcW w:w="2551" w:type="dxa"/>
            <w:shd w:val="clear" w:color="auto" w:fill="auto"/>
            <w:vAlign w:val="center"/>
            <w:hideMark/>
          </w:tcPr>
          <w:p w14:paraId="0D19748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El cableado de energía y de telecomunicaciones que transporta datos o brinda soporte a los servicios de información debe ser protegido contra interceptación, interferencia o daño.</w:t>
            </w:r>
          </w:p>
        </w:tc>
        <w:tc>
          <w:tcPr>
            <w:tcW w:w="826" w:type="dxa"/>
            <w:shd w:val="clear" w:color="000000" w:fill="008000"/>
            <w:vAlign w:val="center"/>
            <w:hideMark/>
          </w:tcPr>
          <w:p w14:paraId="24995516"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2961FD3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Cableado categoría 6a</w:t>
            </w:r>
            <w:r w:rsidRPr="00795864">
              <w:rPr>
                <w:rFonts w:asciiTheme="majorHAnsi" w:eastAsia="Times New Roman" w:hAnsiTheme="majorHAnsi" w:cstheme="majorHAnsi"/>
                <w:color w:val="000000"/>
                <w:sz w:val="16"/>
                <w:szCs w:val="16"/>
                <w:lang w:val="es-CO" w:eastAsia="es-CO"/>
              </w:rPr>
              <w:br/>
              <w:t>* !3 centros de cableado con acceso por llave</w:t>
            </w:r>
            <w:r w:rsidRPr="00795864">
              <w:rPr>
                <w:rFonts w:asciiTheme="majorHAnsi" w:eastAsia="Times New Roman" w:hAnsiTheme="majorHAnsi" w:cstheme="majorHAnsi"/>
                <w:color w:val="000000"/>
                <w:sz w:val="16"/>
                <w:szCs w:val="16"/>
                <w:lang w:val="es-CO" w:eastAsia="es-CO"/>
              </w:rPr>
              <w:br/>
              <w:t>* Se tiene diagrama de red</w:t>
            </w:r>
            <w:r w:rsidRPr="00795864">
              <w:rPr>
                <w:rFonts w:asciiTheme="majorHAnsi" w:eastAsia="Times New Roman" w:hAnsiTheme="majorHAnsi" w:cstheme="majorHAnsi"/>
                <w:color w:val="000000"/>
                <w:sz w:val="16"/>
                <w:szCs w:val="16"/>
                <w:lang w:val="es-CO" w:eastAsia="es-CO"/>
              </w:rPr>
              <w:br/>
              <w:t>* Toda el cableado se encuentra protegido con canaletas</w:t>
            </w:r>
            <w:r w:rsidRPr="00795864">
              <w:rPr>
                <w:rFonts w:asciiTheme="majorHAnsi" w:eastAsia="Times New Roman" w:hAnsiTheme="majorHAnsi" w:cstheme="majorHAnsi"/>
                <w:color w:val="000000"/>
                <w:sz w:val="16"/>
                <w:szCs w:val="16"/>
                <w:lang w:val="es-CO" w:eastAsia="es-CO"/>
              </w:rPr>
              <w:br/>
              <w:t>* La red es certificada</w:t>
            </w:r>
            <w:r w:rsidRPr="00795864">
              <w:rPr>
                <w:rFonts w:asciiTheme="majorHAnsi" w:eastAsia="Times New Roman" w:hAnsiTheme="majorHAnsi" w:cstheme="majorHAnsi"/>
                <w:color w:val="000000"/>
                <w:sz w:val="16"/>
                <w:szCs w:val="16"/>
                <w:lang w:val="es-CO" w:eastAsia="es-CO"/>
              </w:rPr>
              <w:br/>
              <w:t>* Los puntos de red distribuidos por las sedes, permiten la conexión a la red y salida a internet ya que entregan direccionamiento por DHCP.</w:t>
            </w:r>
            <w:r w:rsidRPr="00795864">
              <w:rPr>
                <w:rFonts w:asciiTheme="majorHAnsi" w:eastAsia="Times New Roman" w:hAnsiTheme="majorHAnsi" w:cstheme="majorHAnsi"/>
                <w:color w:val="000000"/>
                <w:sz w:val="16"/>
                <w:szCs w:val="16"/>
                <w:lang w:val="es-CO" w:eastAsia="es-CO"/>
              </w:rPr>
              <w:br/>
              <w:t xml:space="preserve">* Las únicas </w:t>
            </w:r>
            <w:proofErr w:type="spellStart"/>
            <w:r w:rsidRPr="00795864">
              <w:rPr>
                <w:rFonts w:asciiTheme="majorHAnsi" w:eastAsia="Times New Roman" w:hAnsiTheme="majorHAnsi" w:cstheme="majorHAnsi"/>
                <w:color w:val="000000"/>
                <w:sz w:val="16"/>
                <w:szCs w:val="16"/>
                <w:lang w:val="es-CO" w:eastAsia="es-CO"/>
              </w:rPr>
              <w:t>Ips</w:t>
            </w:r>
            <w:proofErr w:type="spellEnd"/>
            <w:r w:rsidRPr="00795864">
              <w:rPr>
                <w:rFonts w:asciiTheme="majorHAnsi" w:eastAsia="Times New Roman" w:hAnsiTheme="majorHAnsi" w:cstheme="majorHAnsi"/>
                <w:color w:val="000000"/>
                <w:sz w:val="16"/>
                <w:szCs w:val="16"/>
                <w:lang w:val="es-CO" w:eastAsia="es-CO"/>
              </w:rPr>
              <w:t xml:space="preserve"> fijas son para usuarios que se conectan por VPN y para impresoras.</w:t>
            </w:r>
            <w:r w:rsidRPr="00795864">
              <w:rPr>
                <w:rFonts w:asciiTheme="majorHAnsi" w:eastAsia="Times New Roman" w:hAnsiTheme="majorHAnsi" w:cstheme="majorHAnsi"/>
                <w:color w:val="000000"/>
                <w:sz w:val="16"/>
                <w:szCs w:val="16"/>
                <w:lang w:val="es-CO" w:eastAsia="es-CO"/>
              </w:rPr>
              <w:br/>
              <w:t>* La red se encuentra segmentada pero no cuenta con controles adicionales.</w:t>
            </w:r>
          </w:p>
        </w:tc>
        <w:tc>
          <w:tcPr>
            <w:tcW w:w="1275" w:type="dxa"/>
            <w:shd w:val="clear" w:color="000000" w:fill="E26B0A"/>
            <w:vAlign w:val="center"/>
            <w:hideMark/>
          </w:tcPr>
          <w:p w14:paraId="2F3CFB9B"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E26B0A"/>
            <w:vAlign w:val="center"/>
            <w:hideMark/>
          </w:tcPr>
          <w:p w14:paraId="518D391B"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Inicial</w:t>
            </w:r>
          </w:p>
        </w:tc>
        <w:tc>
          <w:tcPr>
            <w:tcW w:w="851" w:type="dxa"/>
            <w:shd w:val="clear" w:color="auto" w:fill="auto"/>
            <w:vAlign w:val="center"/>
            <w:hideMark/>
          </w:tcPr>
          <w:p w14:paraId="31D4ABCF"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20%</w:t>
            </w:r>
          </w:p>
        </w:tc>
        <w:tc>
          <w:tcPr>
            <w:tcW w:w="3827" w:type="dxa"/>
            <w:shd w:val="clear" w:color="auto" w:fill="auto"/>
            <w:vAlign w:val="center"/>
            <w:hideMark/>
          </w:tcPr>
          <w:p w14:paraId="46CFE65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recomienda que los puntos de red cuenten con controles de acceso a la red adecuados.</w:t>
            </w:r>
          </w:p>
        </w:tc>
        <w:tc>
          <w:tcPr>
            <w:tcW w:w="1843" w:type="dxa"/>
          </w:tcPr>
          <w:p w14:paraId="30C5402C"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636FEBB7" w14:textId="77777777" w:rsidTr="004A6248">
        <w:trPr>
          <w:trHeight w:val="20"/>
        </w:trPr>
        <w:tc>
          <w:tcPr>
            <w:tcW w:w="546" w:type="dxa"/>
            <w:shd w:val="clear" w:color="auto" w:fill="auto"/>
            <w:vAlign w:val="center"/>
            <w:hideMark/>
          </w:tcPr>
          <w:p w14:paraId="7EC001B8"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11.2.4</w:t>
            </w:r>
          </w:p>
        </w:tc>
        <w:tc>
          <w:tcPr>
            <w:tcW w:w="1156" w:type="dxa"/>
            <w:shd w:val="clear" w:color="auto" w:fill="auto"/>
            <w:vAlign w:val="center"/>
            <w:hideMark/>
          </w:tcPr>
          <w:p w14:paraId="270EE243"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Mantenimiento de equipos</w:t>
            </w:r>
          </w:p>
        </w:tc>
        <w:tc>
          <w:tcPr>
            <w:tcW w:w="2551" w:type="dxa"/>
            <w:shd w:val="clear" w:color="auto" w:fill="auto"/>
            <w:vAlign w:val="center"/>
            <w:hideMark/>
          </w:tcPr>
          <w:p w14:paraId="010AE5E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equipos deben recibir mantenimiento adecuado para asegurar su continua disponibilidad e integridad.</w:t>
            </w:r>
          </w:p>
        </w:tc>
        <w:tc>
          <w:tcPr>
            <w:tcW w:w="826" w:type="dxa"/>
            <w:shd w:val="clear" w:color="000000" w:fill="008000"/>
            <w:vAlign w:val="center"/>
            <w:hideMark/>
          </w:tcPr>
          <w:p w14:paraId="1A22A649"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3E52106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Se realizan mantenimientos preventivos y correctivos de 1 a 2 veces al año</w:t>
            </w:r>
            <w:r w:rsidRPr="00795864">
              <w:rPr>
                <w:rFonts w:asciiTheme="majorHAnsi" w:eastAsia="Times New Roman" w:hAnsiTheme="majorHAnsi" w:cstheme="majorHAnsi"/>
                <w:color w:val="000000"/>
                <w:sz w:val="16"/>
                <w:szCs w:val="16"/>
                <w:lang w:val="es-CO" w:eastAsia="es-CO"/>
              </w:rPr>
              <w:br/>
              <w:t>* Los equipos son del INS</w:t>
            </w:r>
            <w:r w:rsidRPr="00795864">
              <w:rPr>
                <w:rFonts w:asciiTheme="majorHAnsi" w:eastAsia="Times New Roman" w:hAnsiTheme="majorHAnsi" w:cstheme="majorHAnsi"/>
                <w:color w:val="000000"/>
                <w:sz w:val="16"/>
                <w:szCs w:val="16"/>
                <w:lang w:val="es-CO" w:eastAsia="es-CO"/>
              </w:rPr>
              <w:br/>
              <w:t>* Las garantías salen del INS, se saca backup, pero no se formatea el equipo.</w:t>
            </w:r>
          </w:p>
        </w:tc>
        <w:tc>
          <w:tcPr>
            <w:tcW w:w="1275" w:type="dxa"/>
            <w:shd w:val="clear" w:color="000000" w:fill="E26B0A"/>
            <w:vAlign w:val="center"/>
            <w:hideMark/>
          </w:tcPr>
          <w:p w14:paraId="6D4CAC4D"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E26B0A"/>
            <w:vAlign w:val="center"/>
            <w:hideMark/>
          </w:tcPr>
          <w:p w14:paraId="317AFCCF"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Inicial</w:t>
            </w:r>
          </w:p>
        </w:tc>
        <w:tc>
          <w:tcPr>
            <w:tcW w:w="851" w:type="dxa"/>
            <w:shd w:val="clear" w:color="auto" w:fill="auto"/>
            <w:vAlign w:val="center"/>
            <w:hideMark/>
          </w:tcPr>
          <w:p w14:paraId="56416E56"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20%</w:t>
            </w:r>
          </w:p>
        </w:tc>
        <w:tc>
          <w:tcPr>
            <w:tcW w:w="3827" w:type="dxa"/>
            <w:shd w:val="clear" w:color="auto" w:fill="auto"/>
            <w:vAlign w:val="center"/>
            <w:hideMark/>
          </w:tcPr>
          <w:p w14:paraId="2732AA9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definir políticas donde se establezca la periodicidad del mantenimiento a equipos de cómputo.</w:t>
            </w:r>
          </w:p>
        </w:tc>
        <w:tc>
          <w:tcPr>
            <w:tcW w:w="1843" w:type="dxa"/>
          </w:tcPr>
          <w:p w14:paraId="5DC82CEA"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01A40E6B" w14:textId="77777777" w:rsidTr="004A6248">
        <w:trPr>
          <w:trHeight w:val="20"/>
        </w:trPr>
        <w:tc>
          <w:tcPr>
            <w:tcW w:w="546" w:type="dxa"/>
            <w:shd w:val="clear" w:color="auto" w:fill="auto"/>
            <w:vAlign w:val="center"/>
            <w:hideMark/>
          </w:tcPr>
          <w:p w14:paraId="57B2BC19"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11.2.5</w:t>
            </w:r>
          </w:p>
        </w:tc>
        <w:tc>
          <w:tcPr>
            <w:tcW w:w="1156" w:type="dxa"/>
            <w:shd w:val="clear" w:color="auto" w:fill="auto"/>
            <w:vAlign w:val="center"/>
            <w:hideMark/>
          </w:tcPr>
          <w:p w14:paraId="7EE6E524"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Retiro de activos</w:t>
            </w:r>
          </w:p>
        </w:tc>
        <w:tc>
          <w:tcPr>
            <w:tcW w:w="2551" w:type="dxa"/>
            <w:shd w:val="clear" w:color="auto" w:fill="auto"/>
            <w:vAlign w:val="center"/>
            <w:hideMark/>
          </w:tcPr>
          <w:p w14:paraId="7AF1A304"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equipos, información o software no se deben retirar de su sitio sin autorización previa.</w:t>
            </w:r>
          </w:p>
        </w:tc>
        <w:tc>
          <w:tcPr>
            <w:tcW w:w="826" w:type="dxa"/>
            <w:shd w:val="clear" w:color="000000" w:fill="008000"/>
            <w:vAlign w:val="center"/>
            <w:hideMark/>
          </w:tcPr>
          <w:p w14:paraId="2307C3EB"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7BF3E4C3"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Todos los equipos que se van a retirar requieren autorización del jefe directo y del supervisor de vigilancia.</w:t>
            </w:r>
            <w:r w:rsidRPr="00795864">
              <w:rPr>
                <w:rFonts w:asciiTheme="majorHAnsi" w:eastAsia="Times New Roman" w:hAnsiTheme="majorHAnsi" w:cstheme="majorHAnsi"/>
                <w:color w:val="000000"/>
                <w:sz w:val="16"/>
                <w:szCs w:val="16"/>
                <w:lang w:val="es-CO" w:eastAsia="es-CO"/>
              </w:rPr>
              <w:br/>
              <w:t>* No se tienen controles a nivel de Discos duros y USB</w:t>
            </w:r>
          </w:p>
        </w:tc>
        <w:tc>
          <w:tcPr>
            <w:tcW w:w="1275" w:type="dxa"/>
            <w:shd w:val="clear" w:color="000000" w:fill="E26B0A"/>
            <w:vAlign w:val="center"/>
            <w:hideMark/>
          </w:tcPr>
          <w:p w14:paraId="569BF73D"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70C0"/>
            <w:vAlign w:val="center"/>
            <w:hideMark/>
          </w:tcPr>
          <w:p w14:paraId="3868B64D"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24268B54"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75BBE9C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recomienda revisar los controles implementados para garantizar el acceso seguro a las instalaciones únicamente por el personal autorizado, dejando registro de dicho acceso.</w:t>
            </w:r>
          </w:p>
        </w:tc>
        <w:tc>
          <w:tcPr>
            <w:tcW w:w="1843" w:type="dxa"/>
          </w:tcPr>
          <w:p w14:paraId="4505914D"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7D2851B5" w14:textId="77777777" w:rsidTr="004A6248">
        <w:trPr>
          <w:trHeight w:val="20"/>
        </w:trPr>
        <w:tc>
          <w:tcPr>
            <w:tcW w:w="546" w:type="dxa"/>
            <w:shd w:val="clear" w:color="auto" w:fill="auto"/>
            <w:vAlign w:val="center"/>
            <w:hideMark/>
          </w:tcPr>
          <w:p w14:paraId="0DC9D160"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11.2.6</w:t>
            </w:r>
          </w:p>
        </w:tc>
        <w:tc>
          <w:tcPr>
            <w:tcW w:w="1156" w:type="dxa"/>
            <w:shd w:val="clear" w:color="auto" w:fill="auto"/>
            <w:vAlign w:val="center"/>
            <w:hideMark/>
          </w:tcPr>
          <w:p w14:paraId="127213B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Seguridad de equipos y activos fuera de las instalaciones</w:t>
            </w:r>
          </w:p>
        </w:tc>
        <w:tc>
          <w:tcPr>
            <w:tcW w:w="2551" w:type="dxa"/>
            <w:shd w:val="clear" w:color="auto" w:fill="auto"/>
            <w:vAlign w:val="center"/>
            <w:hideMark/>
          </w:tcPr>
          <w:p w14:paraId="3D6A14AD"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aplicar medidas de seguridad a los activos que se encuentran fuera de las instalaciones de la organización, teniendo en cuenta los diferentes riesgos de trabajar fuera de dichas instalaciones.</w:t>
            </w:r>
          </w:p>
        </w:tc>
        <w:tc>
          <w:tcPr>
            <w:tcW w:w="826" w:type="dxa"/>
            <w:shd w:val="clear" w:color="000000" w:fill="008000"/>
            <w:vAlign w:val="center"/>
            <w:hideMark/>
          </w:tcPr>
          <w:p w14:paraId="29A808DA"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2E6866D1"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Los equipos que salen de las oficinas no tienen controles de seguridad como cifrado disco duro, solo cuenta con el usuario de dominio, antivirus Kaspersky y conexión por </w:t>
            </w:r>
            <w:proofErr w:type="spellStart"/>
            <w:r w:rsidRPr="00795864">
              <w:rPr>
                <w:rFonts w:asciiTheme="majorHAnsi" w:eastAsia="Times New Roman" w:hAnsiTheme="majorHAnsi" w:cstheme="majorHAnsi"/>
                <w:color w:val="000000"/>
                <w:sz w:val="16"/>
                <w:szCs w:val="16"/>
                <w:lang w:val="es-CO" w:eastAsia="es-CO"/>
              </w:rPr>
              <w:t>VPNs</w:t>
            </w:r>
            <w:proofErr w:type="spellEnd"/>
          </w:p>
        </w:tc>
        <w:tc>
          <w:tcPr>
            <w:tcW w:w="1275" w:type="dxa"/>
            <w:shd w:val="clear" w:color="000000" w:fill="E26B0A"/>
            <w:vAlign w:val="center"/>
            <w:hideMark/>
          </w:tcPr>
          <w:p w14:paraId="763D2EAC"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E26B0A"/>
            <w:vAlign w:val="center"/>
            <w:hideMark/>
          </w:tcPr>
          <w:p w14:paraId="24347904"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Inicial</w:t>
            </w:r>
          </w:p>
        </w:tc>
        <w:tc>
          <w:tcPr>
            <w:tcW w:w="851" w:type="dxa"/>
            <w:shd w:val="clear" w:color="auto" w:fill="auto"/>
            <w:vAlign w:val="center"/>
            <w:hideMark/>
          </w:tcPr>
          <w:p w14:paraId="0C13641A"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20%</w:t>
            </w:r>
          </w:p>
        </w:tc>
        <w:tc>
          <w:tcPr>
            <w:tcW w:w="3827" w:type="dxa"/>
            <w:shd w:val="clear" w:color="auto" w:fill="auto"/>
            <w:vAlign w:val="center"/>
            <w:hideMark/>
          </w:tcPr>
          <w:p w14:paraId="5EF3DE2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recomienda implementar soluciones de cifrado para equipos que salen de las instalaciones del INS.</w:t>
            </w:r>
          </w:p>
        </w:tc>
        <w:tc>
          <w:tcPr>
            <w:tcW w:w="1843" w:type="dxa"/>
          </w:tcPr>
          <w:p w14:paraId="4C9EA4E2"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323E169E" w14:textId="77777777" w:rsidTr="004A6248">
        <w:trPr>
          <w:trHeight w:val="20"/>
        </w:trPr>
        <w:tc>
          <w:tcPr>
            <w:tcW w:w="546" w:type="dxa"/>
            <w:shd w:val="clear" w:color="auto" w:fill="auto"/>
            <w:vAlign w:val="center"/>
            <w:hideMark/>
          </w:tcPr>
          <w:p w14:paraId="0ED38445"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11.2.7</w:t>
            </w:r>
          </w:p>
        </w:tc>
        <w:tc>
          <w:tcPr>
            <w:tcW w:w="1156" w:type="dxa"/>
            <w:shd w:val="clear" w:color="auto" w:fill="auto"/>
            <w:vAlign w:val="center"/>
            <w:hideMark/>
          </w:tcPr>
          <w:p w14:paraId="6385F3C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Eliminación segura o reutilización </w:t>
            </w:r>
            <w:r w:rsidRPr="00795864">
              <w:rPr>
                <w:rFonts w:asciiTheme="majorHAnsi" w:eastAsia="Times New Roman" w:hAnsiTheme="majorHAnsi" w:cstheme="majorHAnsi"/>
                <w:color w:val="000000"/>
                <w:sz w:val="16"/>
                <w:szCs w:val="16"/>
                <w:lang w:val="es-CO" w:eastAsia="es-CO"/>
              </w:rPr>
              <w:lastRenderedPageBreak/>
              <w:t>de equipos</w:t>
            </w:r>
          </w:p>
        </w:tc>
        <w:tc>
          <w:tcPr>
            <w:tcW w:w="2551" w:type="dxa"/>
            <w:shd w:val="clear" w:color="auto" w:fill="auto"/>
            <w:vAlign w:val="center"/>
            <w:hideMark/>
          </w:tcPr>
          <w:p w14:paraId="24E4FEC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lastRenderedPageBreak/>
              <w:t xml:space="preserve">Se deben verificar todos los elementos de equipos que contengan medios de </w:t>
            </w:r>
            <w:r w:rsidRPr="00795864">
              <w:rPr>
                <w:rFonts w:asciiTheme="majorHAnsi" w:eastAsia="Times New Roman" w:hAnsiTheme="majorHAnsi" w:cstheme="majorHAnsi"/>
                <w:color w:val="000000"/>
                <w:sz w:val="16"/>
                <w:szCs w:val="16"/>
                <w:lang w:val="es-CO" w:eastAsia="es-CO"/>
              </w:rPr>
              <w:lastRenderedPageBreak/>
              <w:t>almacenamiento para asegurar que cualquier dato sensible o software licenciado haya sido eliminado o sobrescrito en forma segura antes de su eliminación o reutilización.</w:t>
            </w:r>
          </w:p>
        </w:tc>
        <w:tc>
          <w:tcPr>
            <w:tcW w:w="826" w:type="dxa"/>
            <w:shd w:val="clear" w:color="000000" w:fill="008000"/>
            <w:vAlign w:val="center"/>
            <w:hideMark/>
          </w:tcPr>
          <w:p w14:paraId="000F76C2"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lastRenderedPageBreak/>
              <w:t>Aplica</w:t>
            </w:r>
          </w:p>
        </w:tc>
        <w:tc>
          <w:tcPr>
            <w:tcW w:w="3569" w:type="dxa"/>
            <w:shd w:val="clear" w:color="auto" w:fill="auto"/>
            <w:vAlign w:val="center"/>
            <w:hideMark/>
          </w:tcPr>
          <w:p w14:paraId="6C4BAF1D"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Los equipos se devuelven a almacén para ser reasignados, el usuario que lo tenía asignado autoriza el formateo.</w:t>
            </w:r>
            <w:r w:rsidRPr="00795864">
              <w:rPr>
                <w:rFonts w:asciiTheme="majorHAnsi" w:eastAsia="Times New Roman" w:hAnsiTheme="majorHAnsi" w:cstheme="majorHAnsi"/>
                <w:color w:val="000000"/>
                <w:sz w:val="16"/>
                <w:szCs w:val="16"/>
                <w:lang w:val="es-CO" w:eastAsia="es-CO"/>
              </w:rPr>
              <w:br/>
            </w:r>
            <w:r w:rsidRPr="00795864">
              <w:rPr>
                <w:rFonts w:asciiTheme="majorHAnsi" w:eastAsia="Times New Roman" w:hAnsiTheme="majorHAnsi" w:cstheme="majorHAnsi"/>
                <w:color w:val="000000"/>
                <w:sz w:val="16"/>
                <w:szCs w:val="16"/>
                <w:lang w:val="es-CO" w:eastAsia="es-CO"/>
              </w:rPr>
              <w:lastRenderedPageBreak/>
              <w:t>* Se puede hacer traslado del equipo entre funcionarios, en cuyo caso no se formatea el equipo.</w:t>
            </w:r>
            <w:r w:rsidRPr="00795864">
              <w:rPr>
                <w:rFonts w:asciiTheme="majorHAnsi" w:eastAsia="Times New Roman" w:hAnsiTheme="majorHAnsi" w:cstheme="majorHAnsi"/>
                <w:color w:val="000000"/>
                <w:sz w:val="16"/>
                <w:szCs w:val="16"/>
                <w:lang w:val="es-CO" w:eastAsia="es-CO"/>
              </w:rPr>
              <w:br/>
              <w:t>* La mesa de ayuda da el concepto de obsolescencia tecnológica y almacén llama al Martillo, para hacer la disposición segura del equipo.</w:t>
            </w:r>
          </w:p>
        </w:tc>
        <w:tc>
          <w:tcPr>
            <w:tcW w:w="1275" w:type="dxa"/>
            <w:shd w:val="clear" w:color="000000" w:fill="E26B0A"/>
            <w:vAlign w:val="center"/>
            <w:hideMark/>
          </w:tcPr>
          <w:p w14:paraId="2E89E60C"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lastRenderedPageBreak/>
              <w:t>PARCIAL</w:t>
            </w:r>
          </w:p>
        </w:tc>
        <w:tc>
          <w:tcPr>
            <w:tcW w:w="1276" w:type="dxa"/>
            <w:shd w:val="clear" w:color="000000" w:fill="00B0F0"/>
            <w:vAlign w:val="center"/>
            <w:hideMark/>
          </w:tcPr>
          <w:p w14:paraId="7B4B1ADF"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Definido</w:t>
            </w:r>
          </w:p>
        </w:tc>
        <w:tc>
          <w:tcPr>
            <w:tcW w:w="851" w:type="dxa"/>
            <w:shd w:val="clear" w:color="auto" w:fill="auto"/>
            <w:vAlign w:val="center"/>
            <w:hideMark/>
          </w:tcPr>
          <w:p w14:paraId="0B52C5EA"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60%</w:t>
            </w:r>
          </w:p>
        </w:tc>
        <w:tc>
          <w:tcPr>
            <w:tcW w:w="3827" w:type="dxa"/>
            <w:shd w:val="clear" w:color="auto" w:fill="auto"/>
            <w:vAlign w:val="center"/>
            <w:hideMark/>
          </w:tcPr>
          <w:p w14:paraId="017F60E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Formalizar políticas de eliminación o reutilización de equipos de cómputo.</w:t>
            </w:r>
          </w:p>
        </w:tc>
        <w:tc>
          <w:tcPr>
            <w:tcW w:w="1843" w:type="dxa"/>
          </w:tcPr>
          <w:p w14:paraId="0EB43411"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6F9B7928" w14:textId="77777777" w:rsidTr="004A6248">
        <w:trPr>
          <w:trHeight w:val="20"/>
        </w:trPr>
        <w:tc>
          <w:tcPr>
            <w:tcW w:w="546" w:type="dxa"/>
            <w:shd w:val="clear" w:color="auto" w:fill="auto"/>
            <w:vAlign w:val="center"/>
            <w:hideMark/>
          </w:tcPr>
          <w:p w14:paraId="12F67159"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11.2.8</w:t>
            </w:r>
          </w:p>
        </w:tc>
        <w:tc>
          <w:tcPr>
            <w:tcW w:w="1156" w:type="dxa"/>
            <w:shd w:val="clear" w:color="auto" w:fill="auto"/>
            <w:vAlign w:val="center"/>
            <w:hideMark/>
          </w:tcPr>
          <w:p w14:paraId="1367192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Equipos sin supervisión de los usuarios</w:t>
            </w:r>
          </w:p>
        </w:tc>
        <w:tc>
          <w:tcPr>
            <w:tcW w:w="2551" w:type="dxa"/>
            <w:shd w:val="clear" w:color="auto" w:fill="auto"/>
            <w:vAlign w:val="center"/>
            <w:hideMark/>
          </w:tcPr>
          <w:p w14:paraId="753D60C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usuarios deben asegurarse de que el equipo sin supervisión tenga la protección apropiada.</w:t>
            </w:r>
          </w:p>
        </w:tc>
        <w:tc>
          <w:tcPr>
            <w:tcW w:w="826" w:type="dxa"/>
            <w:shd w:val="clear" w:color="000000" w:fill="008000"/>
            <w:vAlign w:val="center"/>
            <w:hideMark/>
          </w:tcPr>
          <w:p w14:paraId="4EB74FF5"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69834424"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tiene un bloqueo de pantalla que se activa luego de 10 minutos de inactividad.</w:t>
            </w:r>
          </w:p>
        </w:tc>
        <w:tc>
          <w:tcPr>
            <w:tcW w:w="1275" w:type="dxa"/>
            <w:shd w:val="clear" w:color="000000" w:fill="E26B0A"/>
            <w:vAlign w:val="center"/>
            <w:hideMark/>
          </w:tcPr>
          <w:p w14:paraId="6BDA069F"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70C0"/>
            <w:vAlign w:val="center"/>
            <w:hideMark/>
          </w:tcPr>
          <w:p w14:paraId="263CF108"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0AF78FB5"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5650D763"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Implementar políticas de bloqueo de equipos ante la inactividad en estos.</w:t>
            </w:r>
          </w:p>
        </w:tc>
        <w:tc>
          <w:tcPr>
            <w:tcW w:w="1843" w:type="dxa"/>
          </w:tcPr>
          <w:p w14:paraId="7663D97D"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0762943B" w14:textId="77777777" w:rsidTr="004A6248">
        <w:trPr>
          <w:trHeight w:val="20"/>
        </w:trPr>
        <w:tc>
          <w:tcPr>
            <w:tcW w:w="546" w:type="dxa"/>
            <w:shd w:val="clear" w:color="auto" w:fill="auto"/>
            <w:vAlign w:val="center"/>
            <w:hideMark/>
          </w:tcPr>
          <w:p w14:paraId="3A83F156"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11.2.9</w:t>
            </w:r>
          </w:p>
        </w:tc>
        <w:tc>
          <w:tcPr>
            <w:tcW w:w="1156" w:type="dxa"/>
            <w:shd w:val="clear" w:color="auto" w:fill="auto"/>
            <w:vAlign w:val="center"/>
            <w:hideMark/>
          </w:tcPr>
          <w:p w14:paraId="72CE492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Política de </w:t>
            </w:r>
            <w:proofErr w:type="gramStart"/>
            <w:r w:rsidRPr="00795864">
              <w:rPr>
                <w:rFonts w:asciiTheme="majorHAnsi" w:eastAsia="Times New Roman" w:hAnsiTheme="majorHAnsi" w:cstheme="majorHAnsi"/>
                <w:color w:val="000000"/>
                <w:sz w:val="16"/>
                <w:szCs w:val="16"/>
                <w:lang w:val="es-CO" w:eastAsia="es-CO"/>
              </w:rPr>
              <w:t>escritorio limpio y pantalla limpia</w:t>
            </w:r>
            <w:proofErr w:type="gramEnd"/>
          </w:p>
        </w:tc>
        <w:tc>
          <w:tcPr>
            <w:tcW w:w="2551" w:type="dxa"/>
            <w:shd w:val="clear" w:color="auto" w:fill="auto"/>
            <w:vAlign w:val="center"/>
            <w:hideMark/>
          </w:tcPr>
          <w:p w14:paraId="6EDA5AD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 adoptar una política de escritorio limpio para los papeles y medios de almacenamiento removibles, y una política de pantalla limpia para las instalaciones de procesamiento de información.</w:t>
            </w:r>
          </w:p>
        </w:tc>
        <w:tc>
          <w:tcPr>
            <w:tcW w:w="826" w:type="dxa"/>
            <w:shd w:val="clear" w:color="000000" w:fill="008000"/>
            <w:vAlign w:val="center"/>
            <w:hideMark/>
          </w:tcPr>
          <w:p w14:paraId="49DC41D3"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21D6136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tiene política de pantalla limpia aplicada a través de dominio.</w:t>
            </w:r>
            <w:r w:rsidRPr="00795864">
              <w:rPr>
                <w:rFonts w:asciiTheme="majorHAnsi" w:eastAsia="Times New Roman" w:hAnsiTheme="majorHAnsi" w:cstheme="majorHAnsi"/>
                <w:color w:val="000000"/>
                <w:sz w:val="16"/>
                <w:szCs w:val="16"/>
                <w:lang w:val="es-CO" w:eastAsia="es-CO"/>
              </w:rPr>
              <w:br/>
              <w:t>No se tiene políticas para que los funcionarios mantengan el escritorio de trabajo sin documentos que puedan ser confidenciales a la mano.</w:t>
            </w:r>
          </w:p>
        </w:tc>
        <w:tc>
          <w:tcPr>
            <w:tcW w:w="1275" w:type="dxa"/>
            <w:shd w:val="clear" w:color="000000" w:fill="E26B0A"/>
            <w:vAlign w:val="center"/>
            <w:hideMark/>
          </w:tcPr>
          <w:p w14:paraId="2CB2D811"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B0F0"/>
            <w:vAlign w:val="center"/>
            <w:hideMark/>
          </w:tcPr>
          <w:p w14:paraId="6417DDDD"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Definido</w:t>
            </w:r>
          </w:p>
        </w:tc>
        <w:tc>
          <w:tcPr>
            <w:tcW w:w="851" w:type="dxa"/>
            <w:shd w:val="clear" w:color="auto" w:fill="auto"/>
            <w:vAlign w:val="center"/>
            <w:hideMark/>
          </w:tcPr>
          <w:p w14:paraId="02A75163"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60%</w:t>
            </w:r>
          </w:p>
        </w:tc>
        <w:tc>
          <w:tcPr>
            <w:tcW w:w="3827" w:type="dxa"/>
            <w:shd w:val="clear" w:color="auto" w:fill="auto"/>
            <w:vAlign w:val="center"/>
            <w:hideMark/>
          </w:tcPr>
          <w:p w14:paraId="67E9FE3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Hacer conciencia en el personal administrativo sobre las ventajas de mantener el puesto de trabajo limpio.</w:t>
            </w:r>
          </w:p>
        </w:tc>
        <w:tc>
          <w:tcPr>
            <w:tcW w:w="1843" w:type="dxa"/>
          </w:tcPr>
          <w:p w14:paraId="16CB1147"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12A5441C" w14:textId="77777777" w:rsidTr="004A6248">
        <w:trPr>
          <w:trHeight w:val="20"/>
        </w:trPr>
        <w:tc>
          <w:tcPr>
            <w:tcW w:w="546" w:type="dxa"/>
            <w:shd w:val="clear" w:color="000000" w:fill="1F497D"/>
            <w:vAlign w:val="center"/>
            <w:hideMark/>
          </w:tcPr>
          <w:p w14:paraId="6BDD6131"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12</w:t>
            </w:r>
          </w:p>
        </w:tc>
        <w:tc>
          <w:tcPr>
            <w:tcW w:w="10653" w:type="dxa"/>
            <w:gridSpan w:val="6"/>
            <w:shd w:val="clear" w:color="000000" w:fill="1F497D"/>
            <w:vAlign w:val="center"/>
            <w:hideMark/>
          </w:tcPr>
          <w:p w14:paraId="26E672C3"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SEGURIDAD DE LAS OPERACIONES</w:t>
            </w:r>
          </w:p>
        </w:tc>
        <w:tc>
          <w:tcPr>
            <w:tcW w:w="851" w:type="dxa"/>
            <w:shd w:val="clear" w:color="000000" w:fill="1F497D"/>
            <w:vAlign w:val="center"/>
            <w:hideMark/>
          </w:tcPr>
          <w:p w14:paraId="71CD7449"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72%</w:t>
            </w:r>
          </w:p>
        </w:tc>
        <w:tc>
          <w:tcPr>
            <w:tcW w:w="3827" w:type="dxa"/>
            <w:shd w:val="clear" w:color="000000" w:fill="1F497D"/>
            <w:vAlign w:val="center"/>
            <w:hideMark/>
          </w:tcPr>
          <w:p w14:paraId="71F2FF5D"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1F497D"/>
          </w:tcPr>
          <w:p w14:paraId="123B93E4"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3E802A64" w14:textId="77777777" w:rsidTr="004A6248">
        <w:trPr>
          <w:trHeight w:val="20"/>
        </w:trPr>
        <w:tc>
          <w:tcPr>
            <w:tcW w:w="546" w:type="dxa"/>
            <w:shd w:val="clear" w:color="000000" w:fill="538DD5"/>
            <w:vAlign w:val="center"/>
            <w:hideMark/>
          </w:tcPr>
          <w:p w14:paraId="69329513"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12.1</w:t>
            </w:r>
          </w:p>
        </w:tc>
        <w:tc>
          <w:tcPr>
            <w:tcW w:w="10653" w:type="dxa"/>
            <w:gridSpan w:val="6"/>
            <w:shd w:val="clear" w:color="000000" w:fill="538DD5"/>
            <w:vAlign w:val="center"/>
            <w:hideMark/>
          </w:tcPr>
          <w:p w14:paraId="548DEEDD"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Procedimientos operacionales y responsabilidades</w:t>
            </w:r>
          </w:p>
        </w:tc>
        <w:tc>
          <w:tcPr>
            <w:tcW w:w="851" w:type="dxa"/>
            <w:shd w:val="clear" w:color="000000" w:fill="538DD5"/>
            <w:vAlign w:val="center"/>
            <w:hideMark/>
          </w:tcPr>
          <w:p w14:paraId="641182E1"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55%</w:t>
            </w:r>
          </w:p>
        </w:tc>
        <w:tc>
          <w:tcPr>
            <w:tcW w:w="3827" w:type="dxa"/>
            <w:shd w:val="clear" w:color="000000" w:fill="538DD5"/>
            <w:vAlign w:val="center"/>
            <w:hideMark/>
          </w:tcPr>
          <w:p w14:paraId="0ED6CF7A"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61E237B6"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243B39DD" w14:textId="77777777" w:rsidTr="004A6248">
        <w:trPr>
          <w:trHeight w:val="20"/>
        </w:trPr>
        <w:tc>
          <w:tcPr>
            <w:tcW w:w="546" w:type="dxa"/>
            <w:shd w:val="clear" w:color="000000" w:fill="538DD5"/>
            <w:vAlign w:val="center"/>
            <w:hideMark/>
          </w:tcPr>
          <w:p w14:paraId="55E72009"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1EC4CDB7"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Asegurar las operaciones correctas y seguras de las instalaciones de procesamiento de información.</w:t>
            </w:r>
          </w:p>
        </w:tc>
        <w:tc>
          <w:tcPr>
            <w:tcW w:w="851" w:type="dxa"/>
            <w:shd w:val="clear" w:color="000000" w:fill="538DD5"/>
            <w:vAlign w:val="center"/>
            <w:hideMark/>
          </w:tcPr>
          <w:p w14:paraId="7F14B427"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3827" w:type="dxa"/>
            <w:shd w:val="clear" w:color="000000" w:fill="538DD5"/>
            <w:vAlign w:val="center"/>
            <w:hideMark/>
          </w:tcPr>
          <w:p w14:paraId="585031BB"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1790ACA0"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39787F74" w14:textId="77777777" w:rsidTr="004A6248">
        <w:trPr>
          <w:trHeight w:val="20"/>
        </w:trPr>
        <w:tc>
          <w:tcPr>
            <w:tcW w:w="546" w:type="dxa"/>
            <w:shd w:val="clear" w:color="auto" w:fill="auto"/>
            <w:vAlign w:val="center"/>
            <w:hideMark/>
          </w:tcPr>
          <w:p w14:paraId="0F278E8F"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12.1.1</w:t>
            </w:r>
          </w:p>
        </w:tc>
        <w:tc>
          <w:tcPr>
            <w:tcW w:w="1156" w:type="dxa"/>
            <w:shd w:val="clear" w:color="auto" w:fill="auto"/>
            <w:vAlign w:val="center"/>
            <w:hideMark/>
          </w:tcPr>
          <w:p w14:paraId="7B94AB0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Procedimientos de operación documentados</w:t>
            </w:r>
          </w:p>
        </w:tc>
        <w:tc>
          <w:tcPr>
            <w:tcW w:w="2551" w:type="dxa"/>
            <w:shd w:val="clear" w:color="auto" w:fill="auto"/>
            <w:vAlign w:val="center"/>
            <w:hideMark/>
          </w:tcPr>
          <w:p w14:paraId="1173579D"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procedimientos operativos se deben documentar y poner a disposición de todos los usuarios que los necesitan.</w:t>
            </w:r>
          </w:p>
        </w:tc>
        <w:tc>
          <w:tcPr>
            <w:tcW w:w="826" w:type="dxa"/>
            <w:shd w:val="clear" w:color="000000" w:fill="008000"/>
            <w:vAlign w:val="center"/>
            <w:hideMark/>
          </w:tcPr>
          <w:p w14:paraId="10F4CA93"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1A0C272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 OTIC cuenta con una carpeta compartida en la que se mantiene un inventario de sistemas y la documentación de configuración de servicios.</w:t>
            </w:r>
          </w:p>
        </w:tc>
        <w:tc>
          <w:tcPr>
            <w:tcW w:w="1275" w:type="dxa"/>
            <w:shd w:val="clear" w:color="000000" w:fill="92D050"/>
            <w:vAlign w:val="center"/>
            <w:hideMark/>
          </w:tcPr>
          <w:p w14:paraId="5F4683B1"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SI</w:t>
            </w:r>
          </w:p>
        </w:tc>
        <w:tc>
          <w:tcPr>
            <w:tcW w:w="1276" w:type="dxa"/>
            <w:shd w:val="clear" w:color="000000" w:fill="0070C0"/>
            <w:vAlign w:val="center"/>
            <w:hideMark/>
          </w:tcPr>
          <w:p w14:paraId="2F37018E"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6C437FC5"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7489AAF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Desarrollar y formalizar procedimientos operativos de la plataforma tecnológica</w:t>
            </w:r>
          </w:p>
        </w:tc>
        <w:tc>
          <w:tcPr>
            <w:tcW w:w="1843" w:type="dxa"/>
          </w:tcPr>
          <w:p w14:paraId="606FBB7C"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748E5C5E" w14:textId="77777777" w:rsidTr="004A6248">
        <w:trPr>
          <w:trHeight w:val="20"/>
        </w:trPr>
        <w:tc>
          <w:tcPr>
            <w:tcW w:w="546" w:type="dxa"/>
            <w:shd w:val="clear" w:color="auto" w:fill="auto"/>
            <w:vAlign w:val="center"/>
            <w:hideMark/>
          </w:tcPr>
          <w:p w14:paraId="5EBE6532"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12.1.2</w:t>
            </w:r>
          </w:p>
        </w:tc>
        <w:tc>
          <w:tcPr>
            <w:tcW w:w="1156" w:type="dxa"/>
            <w:shd w:val="clear" w:color="auto" w:fill="auto"/>
            <w:vAlign w:val="center"/>
            <w:hideMark/>
          </w:tcPr>
          <w:p w14:paraId="493D2A1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Gestión de cambios</w:t>
            </w:r>
          </w:p>
        </w:tc>
        <w:tc>
          <w:tcPr>
            <w:tcW w:w="2551" w:type="dxa"/>
            <w:shd w:val="clear" w:color="auto" w:fill="auto"/>
            <w:vAlign w:val="center"/>
            <w:hideMark/>
          </w:tcPr>
          <w:p w14:paraId="4A85C3D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controlar los cambios en la organización, en los procesos de negocio, en las instalaciones y en los sistemas de procesamiento de información que afectan la seguridad de la información.</w:t>
            </w:r>
          </w:p>
        </w:tc>
        <w:tc>
          <w:tcPr>
            <w:tcW w:w="826" w:type="dxa"/>
            <w:shd w:val="clear" w:color="000000" w:fill="008000"/>
            <w:vAlign w:val="center"/>
            <w:hideMark/>
          </w:tcPr>
          <w:p w14:paraId="08B82F56"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1CFCAA3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notifica a los usuarios sobre cambios que se realizan en los sistemas, pero no se documenta los cambios. Se notifica por correo electrónico si el cambio fue exitoso. Los cambios en las plataformas se realizan los viernes en la noche. Algunos servicios tecnológicos del INS son servicio 7x24.</w:t>
            </w:r>
          </w:p>
        </w:tc>
        <w:tc>
          <w:tcPr>
            <w:tcW w:w="1275" w:type="dxa"/>
            <w:shd w:val="clear" w:color="000000" w:fill="E26B0A"/>
            <w:vAlign w:val="center"/>
            <w:hideMark/>
          </w:tcPr>
          <w:p w14:paraId="241BE89D"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FFFF00"/>
            <w:vAlign w:val="center"/>
            <w:hideMark/>
          </w:tcPr>
          <w:p w14:paraId="5DB78B93"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Repetible</w:t>
            </w:r>
          </w:p>
        </w:tc>
        <w:tc>
          <w:tcPr>
            <w:tcW w:w="851" w:type="dxa"/>
            <w:shd w:val="clear" w:color="auto" w:fill="auto"/>
            <w:vAlign w:val="center"/>
            <w:hideMark/>
          </w:tcPr>
          <w:p w14:paraId="65727D9C"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40%</w:t>
            </w:r>
          </w:p>
        </w:tc>
        <w:tc>
          <w:tcPr>
            <w:tcW w:w="3827" w:type="dxa"/>
            <w:shd w:val="clear" w:color="auto" w:fill="auto"/>
            <w:vAlign w:val="center"/>
            <w:hideMark/>
          </w:tcPr>
          <w:p w14:paraId="7449C97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Desarrollar y formalizar el procedimiento de gestión de cambios</w:t>
            </w:r>
          </w:p>
        </w:tc>
        <w:tc>
          <w:tcPr>
            <w:tcW w:w="1843" w:type="dxa"/>
          </w:tcPr>
          <w:p w14:paraId="4DC408B1"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759AF037" w14:textId="77777777" w:rsidTr="004A6248">
        <w:trPr>
          <w:trHeight w:val="20"/>
        </w:trPr>
        <w:tc>
          <w:tcPr>
            <w:tcW w:w="546" w:type="dxa"/>
            <w:shd w:val="clear" w:color="auto" w:fill="auto"/>
            <w:vAlign w:val="center"/>
            <w:hideMark/>
          </w:tcPr>
          <w:p w14:paraId="147A7BD6"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12.1.3</w:t>
            </w:r>
          </w:p>
        </w:tc>
        <w:tc>
          <w:tcPr>
            <w:tcW w:w="1156" w:type="dxa"/>
            <w:shd w:val="clear" w:color="auto" w:fill="auto"/>
            <w:vAlign w:val="center"/>
            <w:hideMark/>
          </w:tcPr>
          <w:p w14:paraId="39ED739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Gestión de capacidad</w:t>
            </w:r>
          </w:p>
        </w:tc>
        <w:tc>
          <w:tcPr>
            <w:tcW w:w="2551" w:type="dxa"/>
            <w:shd w:val="clear" w:color="auto" w:fill="auto"/>
            <w:vAlign w:val="center"/>
            <w:hideMark/>
          </w:tcPr>
          <w:p w14:paraId="65795B0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 hacer seguimiento al uso de recursos, hacer los ajustes, y hacer proyecciones de los requisitos de capacidad futura, para asegurar el desempeño requerido del sistema.</w:t>
            </w:r>
          </w:p>
        </w:tc>
        <w:tc>
          <w:tcPr>
            <w:tcW w:w="826" w:type="dxa"/>
            <w:shd w:val="clear" w:color="000000" w:fill="008000"/>
            <w:vAlign w:val="center"/>
            <w:hideMark/>
          </w:tcPr>
          <w:p w14:paraId="7BA6D5B7"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4A61BF1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Se revisa manualmente el Estatus del sistema de almacenamiento (Pure Storage), el cual tiene una capacidad de 16Tb, actualmente tiene un uso del 20%, para correo electrónico, máquinas virtuales y bases de datos</w:t>
            </w:r>
            <w:r w:rsidRPr="00795864">
              <w:rPr>
                <w:rFonts w:asciiTheme="majorHAnsi" w:eastAsia="Times New Roman" w:hAnsiTheme="majorHAnsi" w:cstheme="majorHAnsi"/>
                <w:color w:val="000000"/>
                <w:sz w:val="16"/>
                <w:szCs w:val="16"/>
                <w:lang w:val="es-CO" w:eastAsia="es-CO"/>
              </w:rPr>
              <w:br/>
              <w:t>* No se hace gestión de capacidad</w:t>
            </w:r>
          </w:p>
        </w:tc>
        <w:tc>
          <w:tcPr>
            <w:tcW w:w="1275" w:type="dxa"/>
            <w:shd w:val="clear" w:color="000000" w:fill="E26B0A"/>
            <w:vAlign w:val="center"/>
            <w:hideMark/>
          </w:tcPr>
          <w:p w14:paraId="22EBFD77"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E26B0A"/>
            <w:vAlign w:val="center"/>
            <w:hideMark/>
          </w:tcPr>
          <w:p w14:paraId="52679599"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Inicial</w:t>
            </w:r>
          </w:p>
        </w:tc>
        <w:tc>
          <w:tcPr>
            <w:tcW w:w="851" w:type="dxa"/>
            <w:shd w:val="clear" w:color="auto" w:fill="auto"/>
            <w:vAlign w:val="center"/>
            <w:hideMark/>
          </w:tcPr>
          <w:p w14:paraId="6AE2E07A"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20%</w:t>
            </w:r>
          </w:p>
        </w:tc>
        <w:tc>
          <w:tcPr>
            <w:tcW w:w="3827" w:type="dxa"/>
            <w:shd w:val="clear" w:color="auto" w:fill="auto"/>
            <w:vAlign w:val="center"/>
            <w:hideMark/>
          </w:tcPr>
          <w:p w14:paraId="1CCA969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Desarrollar políticas de gestión de la capacidad de la plataforma tecnológica</w:t>
            </w:r>
          </w:p>
        </w:tc>
        <w:tc>
          <w:tcPr>
            <w:tcW w:w="1843" w:type="dxa"/>
          </w:tcPr>
          <w:p w14:paraId="2300ED43"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464EAABF" w14:textId="77777777" w:rsidTr="004A6248">
        <w:trPr>
          <w:trHeight w:val="1645"/>
        </w:trPr>
        <w:tc>
          <w:tcPr>
            <w:tcW w:w="546" w:type="dxa"/>
            <w:shd w:val="clear" w:color="auto" w:fill="auto"/>
            <w:vAlign w:val="center"/>
            <w:hideMark/>
          </w:tcPr>
          <w:p w14:paraId="53FE55C1"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lastRenderedPageBreak/>
              <w:t>12.1.4</w:t>
            </w:r>
          </w:p>
        </w:tc>
        <w:tc>
          <w:tcPr>
            <w:tcW w:w="1156" w:type="dxa"/>
            <w:shd w:val="clear" w:color="auto" w:fill="auto"/>
            <w:vAlign w:val="center"/>
            <w:hideMark/>
          </w:tcPr>
          <w:p w14:paraId="5F2CBCF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Separación de los ambientes de desarrollo, ensayos, y operacionales</w:t>
            </w:r>
          </w:p>
        </w:tc>
        <w:tc>
          <w:tcPr>
            <w:tcW w:w="2551" w:type="dxa"/>
            <w:shd w:val="clear" w:color="auto" w:fill="auto"/>
            <w:vAlign w:val="center"/>
            <w:hideMark/>
          </w:tcPr>
          <w:p w14:paraId="525ACA4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separar los ambientes de desarrollo, ensayo y operativos, para reducir los riesgos de acceso o cambios no autorizados al ambiente operacional.</w:t>
            </w:r>
          </w:p>
        </w:tc>
        <w:tc>
          <w:tcPr>
            <w:tcW w:w="826" w:type="dxa"/>
            <w:shd w:val="clear" w:color="000000" w:fill="008000"/>
            <w:vAlign w:val="center"/>
            <w:hideMark/>
          </w:tcPr>
          <w:p w14:paraId="000F6250"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693B39F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 Se tienen ambientes de desarrollo en los equipos de los desarrolladores, ambiente de pruebas y de producción, mediante maquinas separadas para cada ambiente. </w:t>
            </w:r>
            <w:r w:rsidRPr="00795864">
              <w:rPr>
                <w:rFonts w:asciiTheme="majorHAnsi" w:eastAsia="Times New Roman" w:hAnsiTheme="majorHAnsi" w:cstheme="majorHAnsi"/>
                <w:color w:val="000000"/>
                <w:sz w:val="16"/>
                <w:szCs w:val="16"/>
                <w:lang w:val="es-CO" w:eastAsia="es-CO"/>
              </w:rPr>
              <w:br/>
              <w:t>* En SharePoint se hace mediante la creación de ambientes para pruebas y producción.</w:t>
            </w:r>
          </w:p>
        </w:tc>
        <w:tc>
          <w:tcPr>
            <w:tcW w:w="1275" w:type="dxa"/>
            <w:shd w:val="clear" w:color="000000" w:fill="E26B0A"/>
            <w:vAlign w:val="center"/>
            <w:hideMark/>
          </w:tcPr>
          <w:p w14:paraId="202C1E64"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70C0"/>
            <w:vAlign w:val="center"/>
            <w:hideMark/>
          </w:tcPr>
          <w:p w14:paraId="57969906"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47796BF2"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182F0AE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Separar los ambientes de producción, pruebas y desarrollo tanto a nivel lógico como físico.</w:t>
            </w:r>
          </w:p>
        </w:tc>
        <w:tc>
          <w:tcPr>
            <w:tcW w:w="1843" w:type="dxa"/>
          </w:tcPr>
          <w:p w14:paraId="5FC29157"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0389509A" w14:textId="77777777" w:rsidTr="004A6248">
        <w:trPr>
          <w:trHeight w:val="20"/>
        </w:trPr>
        <w:tc>
          <w:tcPr>
            <w:tcW w:w="546" w:type="dxa"/>
            <w:shd w:val="clear" w:color="000000" w:fill="538DD5"/>
            <w:vAlign w:val="center"/>
            <w:hideMark/>
          </w:tcPr>
          <w:p w14:paraId="52F929B1"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12.2</w:t>
            </w:r>
          </w:p>
        </w:tc>
        <w:tc>
          <w:tcPr>
            <w:tcW w:w="10653" w:type="dxa"/>
            <w:gridSpan w:val="6"/>
            <w:shd w:val="clear" w:color="000000" w:fill="538DD5"/>
            <w:vAlign w:val="center"/>
            <w:hideMark/>
          </w:tcPr>
          <w:p w14:paraId="3BC15001"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Protección contra códigos maliciosos</w:t>
            </w:r>
          </w:p>
        </w:tc>
        <w:tc>
          <w:tcPr>
            <w:tcW w:w="851" w:type="dxa"/>
            <w:shd w:val="clear" w:color="000000" w:fill="538DD5"/>
            <w:vAlign w:val="center"/>
            <w:hideMark/>
          </w:tcPr>
          <w:p w14:paraId="02271500"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80%</w:t>
            </w:r>
          </w:p>
        </w:tc>
        <w:tc>
          <w:tcPr>
            <w:tcW w:w="3827" w:type="dxa"/>
            <w:shd w:val="clear" w:color="000000" w:fill="538DD5"/>
            <w:vAlign w:val="center"/>
            <w:hideMark/>
          </w:tcPr>
          <w:p w14:paraId="305D6449"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09DD22B6"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6AE1ABE9" w14:textId="77777777" w:rsidTr="004A6248">
        <w:trPr>
          <w:trHeight w:val="20"/>
        </w:trPr>
        <w:tc>
          <w:tcPr>
            <w:tcW w:w="546" w:type="dxa"/>
            <w:shd w:val="clear" w:color="000000" w:fill="538DD5"/>
            <w:vAlign w:val="center"/>
            <w:hideMark/>
          </w:tcPr>
          <w:p w14:paraId="45E5C510"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1AC5DB98"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Asegurarse de que la información y las instalaciones de procesamiento de información estén protegidas contra códigos maliciosos.</w:t>
            </w:r>
          </w:p>
        </w:tc>
        <w:tc>
          <w:tcPr>
            <w:tcW w:w="851" w:type="dxa"/>
            <w:shd w:val="clear" w:color="000000" w:fill="538DD5"/>
            <w:vAlign w:val="center"/>
            <w:hideMark/>
          </w:tcPr>
          <w:p w14:paraId="33861576"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3827" w:type="dxa"/>
            <w:shd w:val="clear" w:color="000000" w:fill="538DD5"/>
            <w:vAlign w:val="center"/>
            <w:hideMark/>
          </w:tcPr>
          <w:p w14:paraId="39F20F0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1637847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022EDC5F" w14:textId="77777777" w:rsidTr="004A6248">
        <w:trPr>
          <w:trHeight w:val="20"/>
        </w:trPr>
        <w:tc>
          <w:tcPr>
            <w:tcW w:w="546" w:type="dxa"/>
            <w:shd w:val="clear" w:color="auto" w:fill="auto"/>
            <w:vAlign w:val="center"/>
            <w:hideMark/>
          </w:tcPr>
          <w:p w14:paraId="6E8CEBF3"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12.2.1</w:t>
            </w:r>
          </w:p>
        </w:tc>
        <w:tc>
          <w:tcPr>
            <w:tcW w:w="1156" w:type="dxa"/>
            <w:shd w:val="clear" w:color="auto" w:fill="auto"/>
            <w:vAlign w:val="center"/>
            <w:hideMark/>
          </w:tcPr>
          <w:p w14:paraId="2F44AF1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Controles contra códigos maliciosos</w:t>
            </w:r>
          </w:p>
        </w:tc>
        <w:tc>
          <w:tcPr>
            <w:tcW w:w="2551" w:type="dxa"/>
            <w:shd w:val="clear" w:color="auto" w:fill="auto"/>
            <w:vAlign w:val="center"/>
            <w:hideMark/>
          </w:tcPr>
          <w:p w14:paraId="78FE72F3"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implementar controles de detección, de prevención y de recuperación, combinados con la toma de conciencia apropiada de los usuarios, para proteger contra códigos maliciosos.</w:t>
            </w:r>
          </w:p>
        </w:tc>
        <w:tc>
          <w:tcPr>
            <w:tcW w:w="826" w:type="dxa"/>
            <w:shd w:val="clear" w:color="000000" w:fill="008000"/>
            <w:vAlign w:val="center"/>
            <w:hideMark/>
          </w:tcPr>
          <w:p w14:paraId="548CD3CE"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39A665A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Se cuenta con firewall perimetral en alta disponibilidad.</w:t>
            </w:r>
            <w:r w:rsidRPr="00795864">
              <w:rPr>
                <w:rFonts w:asciiTheme="majorHAnsi" w:eastAsia="Times New Roman" w:hAnsiTheme="majorHAnsi" w:cstheme="majorHAnsi"/>
                <w:color w:val="000000"/>
                <w:sz w:val="16"/>
                <w:szCs w:val="16"/>
                <w:lang w:val="es-CO" w:eastAsia="es-CO"/>
              </w:rPr>
              <w:br/>
              <w:t>* En los equipos de escritorio se cuenta con antivirus Kaspersky que tiene módulos de (aplicación, mail, file server)</w:t>
            </w:r>
            <w:r w:rsidRPr="00795864">
              <w:rPr>
                <w:rFonts w:asciiTheme="majorHAnsi" w:eastAsia="Times New Roman" w:hAnsiTheme="majorHAnsi" w:cstheme="majorHAnsi"/>
                <w:color w:val="000000"/>
                <w:sz w:val="16"/>
                <w:szCs w:val="16"/>
                <w:lang w:val="es-CO" w:eastAsia="es-CO"/>
              </w:rPr>
              <w:br/>
              <w:t xml:space="preserve">* También se cuenta con antispam marca </w:t>
            </w:r>
            <w:proofErr w:type="spellStart"/>
            <w:r w:rsidRPr="00795864">
              <w:rPr>
                <w:rFonts w:asciiTheme="majorHAnsi" w:eastAsia="Times New Roman" w:hAnsiTheme="majorHAnsi" w:cstheme="majorHAnsi"/>
                <w:color w:val="000000"/>
                <w:sz w:val="16"/>
                <w:szCs w:val="16"/>
                <w:lang w:val="es-CO" w:eastAsia="es-CO"/>
              </w:rPr>
              <w:t>Sofos</w:t>
            </w:r>
            <w:proofErr w:type="spellEnd"/>
            <w:r w:rsidRPr="00795864">
              <w:rPr>
                <w:rFonts w:asciiTheme="majorHAnsi" w:eastAsia="Times New Roman" w:hAnsiTheme="majorHAnsi" w:cstheme="majorHAnsi"/>
                <w:color w:val="000000"/>
                <w:sz w:val="16"/>
                <w:szCs w:val="16"/>
                <w:lang w:val="es-CO" w:eastAsia="es-CO"/>
              </w:rPr>
              <w:t>, el cual permite la administración de listas blancas y listas negras, así como el análisis de adjuntos</w:t>
            </w:r>
          </w:p>
        </w:tc>
        <w:tc>
          <w:tcPr>
            <w:tcW w:w="1275" w:type="dxa"/>
            <w:shd w:val="clear" w:color="000000" w:fill="92D050"/>
            <w:vAlign w:val="center"/>
            <w:hideMark/>
          </w:tcPr>
          <w:p w14:paraId="3F97372C"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SI</w:t>
            </w:r>
          </w:p>
        </w:tc>
        <w:tc>
          <w:tcPr>
            <w:tcW w:w="1276" w:type="dxa"/>
            <w:shd w:val="clear" w:color="000000" w:fill="0070C0"/>
            <w:vAlign w:val="center"/>
            <w:hideMark/>
          </w:tcPr>
          <w:p w14:paraId="272C7BF6"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709C5233"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380A537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Garantizar la actualización permanente de la solución de antivirus.</w:t>
            </w:r>
            <w:r w:rsidRPr="00795864">
              <w:rPr>
                <w:rFonts w:asciiTheme="majorHAnsi" w:eastAsia="Times New Roman" w:hAnsiTheme="majorHAnsi" w:cstheme="majorHAnsi"/>
                <w:color w:val="000000"/>
                <w:sz w:val="16"/>
                <w:szCs w:val="16"/>
                <w:lang w:val="es-CO" w:eastAsia="es-CO"/>
              </w:rPr>
              <w:br/>
              <w:t>Validar otras soluciones, como aquellas que permiten una protección avanzada ante amenazas</w:t>
            </w:r>
          </w:p>
        </w:tc>
        <w:tc>
          <w:tcPr>
            <w:tcW w:w="1843" w:type="dxa"/>
          </w:tcPr>
          <w:p w14:paraId="7F307CC0"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4A54D2C1" w14:textId="77777777" w:rsidTr="004A6248">
        <w:trPr>
          <w:trHeight w:val="20"/>
        </w:trPr>
        <w:tc>
          <w:tcPr>
            <w:tcW w:w="546" w:type="dxa"/>
            <w:shd w:val="clear" w:color="000000" w:fill="538DD5"/>
            <w:vAlign w:val="center"/>
            <w:hideMark/>
          </w:tcPr>
          <w:p w14:paraId="5AC8DD7C"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12.3</w:t>
            </w:r>
          </w:p>
        </w:tc>
        <w:tc>
          <w:tcPr>
            <w:tcW w:w="10653" w:type="dxa"/>
            <w:gridSpan w:val="6"/>
            <w:shd w:val="clear" w:color="000000" w:fill="538DD5"/>
            <w:vAlign w:val="center"/>
            <w:hideMark/>
          </w:tcPr>
          <w:p w14:paraId="66E5C7FF"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Copias de respaldo</w:t>
            </w:r>
          </w:p>
        </w:tc>
        <w:tc>
          <w:tcPr>
            <w:tcW w:w="851" w:type="dxa"/>
            <w:shd w:val="clear" w:color="000000" w:fill="538DD5"/>
            <w:vAlign w:val="center"/>
            <w:hideMark/>
          </w:tcPr>
          <w:p w14:paraId="18366C56"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20%</w:t>
            </w:r>
          </w:p>
        </w:tc>
        <w:tc>
          <w:tcPr>
            <w:tcW w:w="3827" w:type="dxa"/>
            <w:shd w:val="clear" w:color="000000" w:fill="538DD5"/>
            <w:vAlign w:val="center"/>
            <w:hideMark/>
          </w:tcPr>
          <w:p w14:paraId="7AE6EBE4"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07F48311"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750FA685" w14:textId="77777777" w:rsidTr="004A6248">
        <w:trPr>
          <w:trHeight w:val="20"/>
        </w:trPr>
        <w:tc>
          <w:tcPr>
            <w:tcW w:w="546" w:type="dxa"/>
            <w:shd w:val="clear" w:color="000000" w:fill="538DD5"/>
            <w:vAlign w:val="center"/>
            <w:hideMark/>
          </w:tcPr>
          <w:p w14:paraId="33261D11"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5835DEAE"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Proteger contra la pérdida de datos.</w:t>
            </w:r>
          </w:p>
        </w:tc>
        <w:tc>
          <w:tcPr>
            <w:tcW w:w="851" w:type="dxa"/>
            <w:shd w:val="clear" w:color="000000" w:fill="538DD5"/>
            <w:vAlign w:val="center"/>
            <w:hideMark/>
          </w:tcPr>
          <w:p w14:paraId="25AC9A52"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3827" w:type="dxa"/>
            <w:shd w:val="clear" w:color="000000" w:fill="538DD5"/>
            <w:vAlign w:val="center"/>
            <w:hideMark/>
          </w:tcPr>
          <w:p w14:paraId="69A8FED9"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1345BA7A"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3D5F6EA4" w14:textId="77777777" w:rsidTr="004A6248">
        <w:trPr>
          <w:trHeight w:val="20"/>
        </w:trPr>
        <w:tc>
          <w:tcPr>
            <w:tcW w:w="546" w:type="dxa"/>
            <w:shd w:val="clear" w:color="auto" w:fill="auto"/>
            <w:vAlign w:val="center"/>
            <w:hideMark/>
          </w:tcPr>
          <w:p w14:paraId="7474321A"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12.3.1</w:t>
            </w:r>
          </w:p>
        </w:tc>
        <w:tc>
          <w:tcPr>
            <w:tcW w:w="1156" w:type="dxa"/>
            <w:shd w:val="clear" w:color="auto" w:fill="auto"/>
            <w:vAlign w:val="center"/>
            <w:hideMark/>
          </w:tcPr>
          <w:p w14:paraId="28B2FDF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Copias de respaldo de la información</w:t>
            </w:r>
          </w:p>
        </w:tc>
        <w:tc>
          <w:tcPr>
            <w:tcW w:w="2551" w:type="dxa"/>
            <w:shd w:val="clear" w:color="auto" w:fill="auto"/>
            <w:vAlign w:val="center"/>
            <w:hideMark/>
          </w:tcPr>
          <w:p w14:paraId="75C5C39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hacer copias de respaldo de la información, software e imágenes de los sistemas, y ponerlas a prueba regularmente de acuerdo con una política de copias de respaldo acordada.</w:t>
            </w:r>
          </w:p>
        </w:tc>
        <w:tc>
          <w:tcPr>
            <w:tcW w:w="826" w:type="dxa"/>
            <w:shd w:val="clear" w:color="000000" w:fill="008000"/>
            <w:vAlign w:val="center"/>
            <w:hideMark/>
          </w:tcPr>
          <w:p w14:paraId="3EECA5E2"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17A4B40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 Los </w:t>
            </w:r>
            <w:proofErr w:type="spellStart"/>
            <w:r w:rsidRPr="00795864">
              <w:rPr>
                <w:rFonts w:asciiTheme="majorHAnsi" w:eastAsia="Times New Roman" w:hAnsiTheme="majorHAnsi" w:cstheme="majorHAnsi"/>
                <w:color w:val="000000"/>
                <w:sz w:val="16"/>
                <w:szCs w:val="16"/>
                <w:lang w:val="es-CO" w:eastAsia="es-CO"/>
              </w:rPr>
              <w:t>backups</w:t>
            </w:r>
            <w:proofErr w:type="spellEnd"/>
            <w:r w:rsidRPr="00795864">
              <w:rPr>
                <w:rFonts w:asciiTheme="majorHAnsi" w:eastAsia="Times New Roman" w:hAnsiTheme="majorHAnsi" w:cstheme="majorHAnsi"/>
                <w:color w:val="000000"/>
                <w:sz w:val="16"/>
                <w:szCs w:val="16"/>
                <w:lang w:val="es-CO" w:eastAsia="es-CO"/>
              </w:rPr>
              <w:t xml:space="preserve"> se realizan por los mismos funcionarios en medios removibles asignados por la OTI o personales</w:t>
            </w:r>
            <w:r w:rsidRPr="00795864">
              <w:rPr>
                <w:rFonts w:asciiTheme="majorHAnsi" w:eastAsia="Times New Roman" w:hAnsiTheme="majorHAnsi" w:cstheme="majorHAnsi"/>
                <w:color w:val="000000"/>
                <w:sz w:val="16"/>
                <w:szCs w:val="16"/>
                <w:lang w:val="es-CO" w:eastAsia="es-CO"/>
              </w:rPr>
              <w:br/>
              <w:t xml:space="preserve">* Se tienen definidos tiempos de almacenamiento de </w:t>
            </w:r>
            <w:proofErr w:type="spellStart"/>
            <w:r w:rsidRPr="00795864">
              <w:rPr>
                <w:rFonts w:asciiTheme="majorHAnsi" w:eastAsia="Times New Roman" w:hAnsiTheme="majorHAnsi" w:cstheme="majorHAnsi"/>
                <w:color w:val="000000"/>
                <w:sz w:val="16"/>
                <w:szCs w:val="16"/>
                <w:lang w:val="es-CO" w:eastAsia="es-CO"/>
              </w:rPr>
              <w:t>backups</w:t>
            </w:r>
            <w:proofErr w:type="spellEnd"/>
            <w:r w:rsidRPr="00795864">
              <w:rPr>
                <w:rFonts w:asciiTheme="majorHAnsi" w:eastAsia="Times New Roman" w:hAnsiTheme="majorHAnsi" w:cstheme="majorHAnsi"/>
                <w:color w:val="000000"/>
                <w:sz w:val="16"/>
                <w:szCs w:val="16"/>
                <w:lang w:val="es-CO" w:eastAsia="es-CO"/>
              </w:rPr>
              <w:br/>
              <w:t xml:space="preserve">* Se tienen </w:t>
            </w:r>
            <w:proofErr w:type="spellStart"/>
            <w:r w:rsidRPr="00795864">
              <w:rPr>
                <w:rFonts w:asciiTheme="majorHAnsi" w:eastAsia="Times New Roman" w:hAnsiTheme="majorHAnsi" w:cstheme="majorHAnsi"/>
                <w:color w:val="000000"/>
                <w:sz w:val="16"/>
                <w:szCs w:val="16"/>
                <w:lang w:val="es-CO" w:eastAsia="es-CO"/>
              </w:rPr>
              <w:t>Backups</w:t>
            </w:r>
            <w:proofErr w:type="spellEnd"/>
            <w:r w:rsidRPr="00795864">
              <w:rPr>
                <w:rFonts w:asciiTheme="majorHAnsi" w:eastAsia="Times New Roman" w:hAnsiTheme="majorHAnsi" w:cstheme="majorHAnsi"/>
                <w:color w:val="000000"/>
                <w:sz w:val="16"/>
                <w:szCs w:val="16"/>
                <w:lang w:val="es-CO" w:eastAsia="es-CO"/>
              </w:rPr>
              <w:t xml:space="preserve"> digitales a disco y en Asure</w:t>
            </w:r>
            <w:r w:rsidRPr="00795864">
              <w:rPr>
                <w:rFonts w:asciiTheme="majorHAnsi" w:eastAsia="Times New Roman" w:hAnsiTheme="majorHAnsi" w:cstheme="majorHAnsi"/>
                <w:color w:val="000000"/>
                <w:sz w:val="16"/>
                <w:szCs w:val="16"/>
                <w:lang w:val="es-CO" w:eastAsia="es-CO"/>
              </w:rPr>
              <w:br/>
              <w:t xml:space="preserve">* No se hace restauración periódica de </w:t>
            </w:r>
            <w:proofErr w:type="spellStart"/>
            <w:r w:rsidRPr="00795864">
              <w:rPr>
                <w:rFonts w:asciiTheme="majorHAnsi" w:eastAsia="Times New Roman" w:hAnsiTheme="majorHAnsi" w:cstheme="majorHAnsi"/>
                <w:color w:val="000000"/>
                <w:sz w:val="16"/>
                <w:szCs w:val="16"/>
                <w:lang w:val="es-CO" w:eastAsia="es-CO"/>
              </w:rPr>
              <w:t>backups</w:t>
            </w:r>
            <w:proofErr w:type="spellEnd"/>
            <w:r w:rsidRPr="00795864">
              <w:rPr>
                <w:rFonts w:asciiTheme="majorHAnsi" w:eastAsia="Times New Roman" w:hAnsiTheme="majorHAnsi" w:cstheme="majorHAnsi"/>
                <w:color w:val="000000"/>
                <w:sz w:val="16"/>
                <w:szCs w:val="16"/>
                <w:lang w:val="es-CO" w:eastAsia="es-CO"/>
              </w:rPr>
              <w:br/>
              <w:t xml:space="preserve">* Se tienen políticas de </w:t>
            </w:r>
            <w:proofErr w:type="spellStart"/>
            <w:r w:rsidRPr="00795864">
              <w:rPr>
                <w:rFonts w:asciiTheme="majorHAnsi" w:eastAsia="Times New Roman" w:hAnsiTheme="majorHAnsi" w:cstheme="majorHAnsi"/>
                <w:color w:val="000000"/>
                <w:sz w:val="16"/>
                <w:szCs w:val="16"/>
                <w:lang w:val="es-CO" w:eastAsia="es-CO"/>
              </w:rPr>
              <w:t>backups</w:t>
            </w:r>
            <w:proofErr w:type="spellEnd"/>
            <w:r w:rsidRPr="00795864">
              <w:rPr>
                <w:rFonts w:asciiTheme="majorHAnsi" w:eastAsia="Times New Roman" w:hAnsiTheme="majorHAnsi" w:cstheme="majorHAnsi"/>
                <w:color w:val="000000"/>
                <w:sz w:val="16"/>
                <w:szCs w:val="16"/>
                <w:lang w:val="es-CO" w:eastAsia="es-CO"/>
              </w:rPr>
              <w:t xml:space="preserve"> definidas en procedimientos</w:t>
            </w:r>
          </w:p>
        </w:tc>
        <w:tc>
          <w:tcPr>
            <w:tcW w:w="1275" w:type="dxa"/>
            <w:shd w:val="clear" w:color="000000" w:fill="E26B0A"/>
            <w:vAlign w:val="center"/>
            <w:hideMark/>
          </w:tcPr>
          <w:p w14:paraId="249B6416"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E26B0A"/>
            <w:vAlign w:val="center"/>
            <w:hideMark/>
          </w:tcPr>
          <w:p w14:paraId="785B56E9"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Inicial</w:t>
            </w:r>
          </w:p>
        </w:tc>
        <w:tc>
          <w:tcPr>
            <w:tcW w:w="851" w:type="dxa"/>
            <w:shd w:val="clear" w:color="auto" w:fill="auto"/>
            <w:vAlign w:val="center"/>
            <w:hideMark/>
          </w:tcPr>
          <w:p w14:paraId="63222E51"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20%</w:t>
            </w:r>
          </w:p>
        </w:tc>
        <w:tc>
          <w:tcPr>
            <w:tcW w:w="3827" w:type="dxa"/>
            <w:shd w:val="clear" w:color="auto" w:fill="auto"/>
            <w:vAlign w:val="center"/>
            <w:hideMark/>
          </w:tcPr>
          <w:p w14:paraId="3157B51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Desarrollar políticas de restauración de </w:t>
            </w:r>
            <w:proofErr w:type="spellStart"/>
            <w:r w:rsidRPr="00795864">
              <w:rPr>
                <w:rFonts w:asciiTheme="majorHAnsi" w:eastAsia="Times New Roman" w:hAnsiTheme="majorHAnsi" w:cstheme="majorHAnsi"/>
                <w:color w:val="000000"/>
                <w:sz w:val="16"/>
                <w:szCs w:val="16"/>
                <w:lang w:val="es-CO" w:eastAsia="es-CO"/>
              </w:rPr>
              <w:t>backups</w:t>
            </w:r>
            <w:proofErr w:type="spellEnd"/>
            <w:r w:rsidRPr="00795864">
              <w:rPr>
                <w:rFonts w:asciiTheme="majorHAnsi" w:eastAsia="Times New Roman" w:hAnsiTheme="majorHAnsi" w:cstheme="majorHAnsi"/>
                <w:color w:val="000000"/>
                <w:sz w:val="16"/>
                <w:szCs w:val="16"/>
                <w:lang w:val="es-CO" w:eastAsia="es-CO"/>
              </w:rPr>
              <w:t>.</w:t>
            </w:r>
          </w:p>
        </w:tc>
        <w:tc>
          <w:tcPr>
            <w:tcW w:w="1843" w:type="dxa"/>
          </w:tcPr>
          <w:p w14:paraId="0CCA0646"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4CCD6D56" w14:textId="77777777" w:rsidTr="004A6248">
        <w:trPr>
          <w:trHeight w:val="20"/>
        </w:trPr>
        <w:tc>
          <w:tcPr>
            <w:tcW w:w="546" w:type="dxa"/>
            <w:shd w:val="clear" w:color="000000" w:fill="538DD5"/>
            <w:vAlign w:val="center"/>
            <w:hideMark/>
          </w:tcPr>
          <w:p w14:paraId="112460CC"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12.4</w:t>
            </w:r>
          </w:p>
        </w:tc>
        <w:tc>
          <w:tcPr>
            <w:tcW w:w="10653" w:type="dxa"/>
            <w:gridSpan w:val="6"/>
            <w:shd w:val="clear" w:color="000000" w:fill="538DD5"/>
            <w:vAlign w:val="center"/>
            <w:hideMark/>
          </w:tcPr>
          <w:p w14:paraId="3BA23612"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Registro y seguimiento</w:t>
            </w:r>
          </w:p>
        </w:tc>
        <w:tc>
          <w:tcPr>
            <w:tcW w:w="851" w:type="dxa"/>
            <w:shd w:val="clear" w:color="000000" w:fill="538DD5"/>
            <w:vAlign w:val="center"/>
            <w:hideMark/>
          </w:tcPr>
          <w:p w14:paraId="590120B6"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80%</w:t>
            </w:r>
          </w:p>
        </w:tc>
        <w:tc>
          <w:tcPr>
            <w:tcW w:w="3827" w:type="dxa"/>
            <w:shd w:val="clear" w:color="000000" w:fill="538DD5"/>
            <w:vAlign w:val="center"/>
            <w:hideMark/>
          </w:tcPr>
          <w:p w14:paraId="1B50CD99"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05EC1424"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7A4EE4E9" w14:textId="77777777" w:rsidTr="004A6248">
        <w:trPr>
          <w:trHeight w:val="20"/>
        </w:trPr>
        <w:tc>
          <w:tcPr>
            <w:tcW w:w="546" w:type="dxa"/>
            <w:shd w:val="clear" w:color="000000" w:fill="538DD5"/>
            <w:vAlign w:val="center"/>
            <w:hideMark/>
          </w:tcPr>
          <w:p w14:paraId="7FE86849"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11F5B5E1"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Registrar eventos y generar evidencia.</w:t>
            </w:r>
          </w:p>
        </w:tc>
        <w:tc>
          <w:tcPr>
            <w:tcW w:w="851" w:type="dxa"/>
            <w:shd w:val="clear" w:color="000000" w:fill="538DD5"/>
            <w:vAlign w:val="center"/>
            <w:hideMark/>
          </w:tcPr>
          <w:p w14:paraId="1A4F27DF"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3827" w:type="dxa"/>
            <w:shd w:val="clear" w:color="000000" w:fill="538DD5"/>
            <w:vAlign w:val="center"/>
            <w:hideMark/>
          </w:tcPr>
          <w:p w14:paraId="69B95327"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05B7E167"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71A8737B" w14:textId="77777777" w:rsidTr="004A6248">
        <w:trPr>
          <w:trHeight w:val="20"/>
        </w:trPr>
        <w:tc>
          <w:tcPr>
            <w:tcW w:w="546" w:type="dxa"/>
            <w:shd w:val="clear" w:color="auto" w:fill="auto"/>
            <w:vAlign w:val="center"/>
            <w:hideMark/>
          </w:tcPr>
          <w:p w14:paraId="3FB0BD33"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12.4.1</w:t>
            </w:r>
          </w:p>
        </w:tc>
        <w:tc>
          <w:tcPr>
            <w:tcW w:w="1156" w:type="dxa"/>
            <w:shd w:val="clear" w:color="auto" w:fill="auto"/>
            <w:vAlign w:val="center"/>
            <w:hideMark/>
          </w:tcPr>
          <w:p w14:paraId="7A571F6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Registro de eventos</w:t>
            </w:r>
          </w:p>
        </w:tc>
        <w:tc>
          <w:tcPr>
            <w:tcW w:w="2551" w:type="dxa"/>
            <w:shd w:val="clear" w:color="auto" w:fill="auto"/>
            <w:vAlign w:val="center"/>
            <w:hideMark/>
          </w:tcPr>
          <w:p w14:paraId="7B5D608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elaborar, conservar y revisar regularmente los registros de eventos acerca de actividades del usuario, excepciones, fallas y eventos de seguridad de la información.</w:t>
            </w:r>
          </w:p>
        </w:tc>
        <w:tc>
          <w:tcPr>
            <w:tcW w:w="826" w:type="dxa"/>
            <w:shd w:val="clear" w:color="000000" w:fill="008000"/>
            <w:vAlign w:val="center"/>
            <w:hideMark/>
          </w:tcPr>
          <w:p w14:paraId="484D0345"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4D833B04"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Se tiene logs de eventos, de sistema, de aplicación.</w:t>
            </w:r>
            <w:r w:rsidRPr="00795864">
              <w:rPr>
                <w:rFonts w:asciiTheme="majorHAnsi" w:eastAsia="Times New Roman" w:hAnsiTheme="majorHAnsi" w:cstheme="majorHAnsi"/>
                <w:color w:val="000000"/>
                <w:sz w:val="16"/>
                <w:szCs w:val="16"/>
                <w:lang w:val="es-CO" w:eastAsia="es-CO"/>
              </w:rPr>
              <w:br/>
              <w:t>* Todos los logs de auditoria están habilitados</w:t>
            </w:r>
            <w:r w:rsidRPr="00795864">
              <w:rPr>
                <w:rFonts w:asciiTheme="majorHAnsi" w:eastAsia="Times New Roman" w:hAnsiTheme="majorHAnsi" w:cstheme="majorHAnsi"/>
                <w:color w:val="000000"/>
                <w:sz w:val="16"/>
                <w:szCs w:val="16"/>
                <w:lang w:val="es-CO" w:eastAsia="es-CO"/>
              </w:rPr>
              <w:br/>
              <w:t>* Los logs se conservan por 6 meses</w:t>
            </w:r>
            <w:r w:rsidRPr="00795864">
              <w:rPr>
                <w:rFonts w:asciiTheme="majorHAnsi" w:eastAsia="Times New Roman" w:hAnsiTheme="majorHAnsi" w:cstheme="majorHAnsi"/>
                <w:color w:val="000000"/>
                <w:sz w:val="16"/>
                <w:szCs w:val="16"/>
                <w:lang w:val="es-CO" w:eastAsia="es-CO"/>
              </w:rPr>
              <w:br/>
              <w:t xml:space="preserve">* No se tiene </w:t>
            </w:r>
            <w:proofErr w:type="spellStart"/>
            <w:r w:rsidRPr="00795864">
              <w:rPr>
                <w:rFonts w:asciiTheme="majorHAnsi" w:eastAsia="Times New Roman" w:hAnsiTheme="majorHAnsi" w:cstheme="majorHAnsi"/>
                <w:color w:val="000000"/>
                <w:sz w:val="16"/>
                <w:szCs w:val="16"/>
                <w:lang w:val="es-CO" w:eastAsia="es-CO"/>
              </w:rPr>
              <w:t>backups</w:t>
            </w:r>
            <w:proofErr w:type="spellEnd"/>
            <w:r w:rsidRPr="00795864">
              <w:rPr>
                <w:rFonts w:asciiTheme="majorHAnsi" w:eastAsia="Times New Roman" w:hAnsiTheme="majorHAnsi" w:cstheme="majorHAnsi"/>
                <w:color w:val="000000"/>
                <w:sz w:val="16"/>
                <w:szCs w:val="16"/>
                <w:lang w:val="es-CO" w:eastAsia="es-CO"/>
              </w:rPr>
              <w:t xml:space="preserve"> de los logs se van reemplazando automáticamente.</w:t>
            </w:r>
          </w:p>
        </w:tc>
        <w:tc>
          <w:tcPr>
            <w:tcW w:w="1275" w:type="dxa"/>
            <w:shd w:val="clear" w:color="000000" w:fill="E26B0A"/>
            <w:vAlign w:val="center"/>
            <w:hideMark/>
          </w:tcPr>
          <w:p w14:paraId="3E7BF733"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70C0"/>
            <w:vAlign w:val="center"/>
            <w:hideMark/>
          </w:tcPr>
          <w:p w14:paraId="34C724D6"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56DD0041"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775FA7A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Definir políticas para la conservación y revisión de registros</w:t>
            </w:r>
          </w:p>
        </w:tc>
        <w:tc>
          <w:tcPr>
            <w:tcW w:w="1843" w:type="dxa"/>
          </w:tcPr>
          <w:p w14:paraId="2BAEF2E1"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6C0656D5" w14:textId="77777777" w:rsidTr="004A6248">
        <w:trPr>
          <w:trHeight w:val="20"/>
        </w:trPr>
        <w:tc>
          <w:tcPr>
            <w:tcW w:w="546" w:type="dxa"/>
            <w:shd w:val="clear" w:color="auto" w:fill="auto"/>
            <w:vAlign w:val="center"/>
            <w:hideMark/>
          </w:tcPr>
          <w:p w14:paraId="66633C67"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12.4.2</w:t>
            </w:r>
          </w:p>
        </w:tc>
        <w:tc>
          <w:tcPr>
            <w:tcW w:w="1156" w:type="dxa"/>
            <w:shd w:val="clear" w:color="auto" w:fill="auto"/>
            <w:vAlign w:val="center"/>
            <w:hideMark/>
          </w:tcPr>
          <w:p w14:paraId="08112C0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Protección de la información de registro</w:t>
            </w:r>
          </w:p>
        </w:tc>
        <w:tc>
          <w:tcPr>
            <w:tcW w:w="2551" w:type="dxa"/>
            <w:shd w:val="clear" w:color="auto" w:fill="auto"/>
            <w:vAlign w:val="center"/>
            <w:hideMark/>
          </w:tcPr>
          <w:p w14:paraId="15D32F56"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Las instalaciones y la información de registro se deben proteger contra alteración y acceso no autorizado.</w:t>
            </w:r>
          </w:p>
        </w:tc>
        <w:tc>
          <w:tcPr>
            <w:tcW w:w="826" w:type="dxa"/>
            <w:shd w:val="clear" w:color="000000" w:fill="008000"/>
            <w:vAlign w:val="center"/>
            <w:hideMark/>
          </w:tcPr>
          <w:p w14:paraId="61CBB674"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5F23738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Solo el administrador del dominio puede borrar registros, actualmente el único administrador es la ing. Johana</w:t>
            </w:r>
          </w:p>
        </w:tc>
        <w:tc>
          <w:tcPr>
            <w:tcW w:w="1275" w:type="dxa"/>
            <w:shd w:val="clear" w:color="000000" w:fill="92D050"/>
            <w:vAlign w:val="center"/>
            <w:hideMark/>
          </w:tcPr>
          <w:p w14:paraId="6E13F7C1"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SI</w:t>
            </w:r>
          </w:p>
        </w:tc>
        <w:tc>
          <w:tcPr>
            <w:tcW w:w="1276" w:type="dxa"/>
            <w:shd w:val="clear" w:color="000000" w:fill="0070C0"/>
            <w:vAlign w:val="center"/>
            <w:hideMark/>
          </w:tcPr>
          <w:p w14:paraId="0F148EAB"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22B1EACC"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1E89623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Definir políticas para la conservación y revisión de registros</w:t>
            </w:r>
          </w:p>
        </w:tc>
        <w:tc>
          <w:tcPr>
            <w:tcW w:w="1843" w:type="dxa"/>
          </w:tcPr>
          <w:p w14:paraId="17888942"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1F15C5CD" w14:textId="77777777" w:rsidTr="004A6248">
        <w:trPr>
          <w:trHeight w:val="20"/>
        </w:trPr>
        <w:tc>
          <w:tcPr>
            <w:tcW w:w="546" w:type="dxa"/>
            <w:shd w:val="clear" w:color="auto" w:fill="auto"/>
            <w:vAlign w:val="center"/>
            <w:hideMark/>
          </w:tcPr>
          <w:p w14:paraId="4A3E0983"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lastRenderedPageBreak/>
              <w:t>12.4.3</w:t>
            </w:r>
          </w:p>
        </w:tc>
        <w:tc>
          <w:tcPr>
            <w:tcW w:w="1156" w:type="dxa"/>
            <w:shd w:val="clear" w:color="auto" w:fill="auto"/>
            <w:vAlign w:val="center"/>
            <w:hideMark/>
          </w:tcPr>
          <w:p w14:paraId="48FFC23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Registros del administrador y del operador</w:t>
            </w:r>
          </w:p>
        </w:tc>
        <w:tc>
          <w:tcPr>
            <w:tcW w:w="2551" w:type="dxa"/>
            <w:shd w:val="clear" w:color="auto" w:fill="auto"/>
            <w:vAlign w:val="center"/>
            <w:hideMark/>
          </w:tcPr>
          <w:p w14:paraId="16CB0A8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Las actividades del administrador y del operador del sistema se deben registrar, y los registros se deben proteger y revisar con regularidad.</w:t>
            </w:r>
          </w:p>
        </w:tc>
        <w:tc>
          <w:tcPr>
            <w:tcW w:w="826" w:type="dxa"/>
            <w:shd w:val="clear" w:color="000000" w:fill="008000"/>
            <w:vAlign w:val="center"/>
            <w:hideMark/>
          </w:tcPr>
          <w:p w14:paraId="065FC69F"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2353729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tienen logs de los cambios que realizan los administradores en los sistemas.</w:t>
            </w:r>
          </w:p>
        </w:tc>
        <w:tc>
          <w:tcPr>
            <w:tcW w:w="1275" w:type="dxa"/>
            <w:shd w:val="clear" w:color="000000" w:fill="92D050"/>
            <w:vAlign w:val="center"/>
            <w:hideMark/>
          </w:tcPr>
          <w:p w14:paraId="5360DB5C"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SI</w:t>
            </w:r>
          </w:p>
        </w:tc>
        <w:tc>
          <w:tcPr>
            <w:tcW w:w="1276" w:type="dxa"/>
            <w:shd w:val="clear" w:color="000000" w:fill="0070C0"/>
            <w:vAlign w:val="center"/>
            <w:hideMark/>
          </w:tcPr>
          <w:p w14:paraId="45CC2898"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443E36B2"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21C51E96"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Definir políticas para la conservación y revisión de registros</w:t>
            </w:r>
          </w:p>
        </w:tc>
        <w:tc>
          <w:tcPr>
            <w:tcW w:w="1843" w:type="dxa"/>
          </w:tcPr>
          <w:p w14:paraId="223324C1"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366DC02E" w14:textId="77777777" w:rsidTr="004A6248">
        <w:trPr>
          <w:trHeight w:val="20"/>
        </w:trPr>
        <w:tc>
          <w:tcPr>
            <w:tcW w:w="546" w:type="dxa"/>
            <w:shd w:val="clear" w:color="auto" w:fill="auto"/>
            <w:vAlign w:val="center"/>
            <w:hideMark/>
          </w:tcPr>
          <w:p w14:paraId="2151FA1A"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12.4.4</w:t>
            </w:r>
          </w:p>
        </w:tc>
        <w:tc>
          <w:tcPr>
            <w:tcW w:w="1156" w:type="dxa"/>
            <w:shd w:val="clear" w:color="auto" w:fill="auto"/>
            <w:vAlign w:val="center"/>
            <w:hideMark/>
          </w:tcPr>
          <w:p w14:paraId="60F48CDD"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Sincronización de relojes</w:t>
            </w:r>
          </w:p>
        </w:tc>
        <w:tc>
          <w:tcPr>
            <w:tcW w:w="2551" w:type="dxa"/>
            <w:shd w:val="clear" w:color="auto" w:fill="auto"/>
            <w:vAlign w:val="center"/>
            <w:hideMark/>
          </w:tcPr>
          <w:p w14:paraId="20CCD6D3"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relojes de todos los sistemas de procesamiento de información pertinentes dentro de una organización o ámbito de seguridad se deben sincronizar con una única fuente de referencia de tiempo.</w:t>
            </w:r>
          </w:p>
        </w:tc>
        <w:tc>
          <w:tcPr>
            <w:tcW w:w="826" w:type="dxa"/>
            <w:shd w:val="clear" w:color="000000" w:fill="008000"/>
            <w:vAlign w:val="center"/>
            <w:hideMark/>
          </w:tcPr>
          <w:p w14:paraId="6D5A1CA3"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35099E1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 Se cuenta con la herramienta </w:t>
            </w:r>
            <w:proofErr w:type="spellStart"/>
            <w:r w:rsidRPr="00795864">
              <w:rPr>
                <w:rFonts w:asciiTheme="majorHAnsi" w:eastAsia="Times New Roman" w:hAnsiTheme="majorHAnsi" w:cstheme="majorHAnsi"/>
                <w:color w:val="000000"/>
                <w:sz w:val="16"/>
                <w:szCs w:val="16"/>
                <w:lang w:val="es-CO" w:eastAsia="es-CO"/>
              </w:rPr>
              <w:t>NetTime</w:t>
            </w:r>
            <w:proofErr w:type="spellEnd"/>
            <w:r w:rsidRPr="00795864">
              <w:rPr>
                <w:rFonts w:asciiTheme="majorHAnsi" w:eastAsia="Times New Roman" w:hAnsiTheme="majorHAnsi" w:cstheme="majorHAnsi"/>
                <w:color w:val="000000"/>
                <w:sz w:val="16"/>
                <w:szCs w:val="16"/>
                <w:lang w:val="es-CO" w:eastAsia="es-CO"/>
              </w:rPr>
              <w:t xml:space="preserve"> para la sincronización de la hora legal colombiana en todos los servidores.</w:t>
            </w:r>
            <w:r w:rsidRPr="00795864">
              <w:rPr>
                <w:rFonts w:asciiTheme="majorHAnsi" w:eastAsia="Times New Roman" w:hAnsiTheme="majorHAnsi" w:cstheme="majorHAnsi"/>
                <w:color w:val="000000"/>
                <w:sz w:val="16"/>
                <w:szCs w:val="16"/>
                <w:lang w:val="es-CO" w:eastAsia="es-CO"/>
              </w:rPr>
              <w:br/>
              <w:t>* Los equipos de usuario sincronizan la hora contra el controlador de dominio.</w:t>
            </w:r>
            <w:r w:rsidRPr="00795864">
              <w:rPr>
                <w:rFonts w:asciiTheme="majorHAnsi" w:eastAsia="Times New Roman" w:hAnsiTheme="majorHAnsi" w:cstheme="majorHAnsi"/>
                <w:color w:val="000000"/>
                <w:sz w:val="16"/>
                <w:szCs w:val="16"/>
                <w:lang w:val="es-CO" w:eastAsia="es-CO"/>
              </w:rPr>
              <w:br/>
              <w:t>* Los dispositivos de red como Firewall y Switches no tienen dicha configuración.</w:t>
            </w:r>
          </w:p>
        </w:tc>
        <w:tc>
          <w:tcPr>
            <w:tcW w:w="1275" w:type="dxa"/>
            <w:shd w:val="clear" w:color="000000" w:fill="E26B0A"/>
            <w:vAlign w:val="center"/>
            <w:hideMark/>
          </w:tcPr>
          <w:p w14:paraId="4D01A799"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70C0"/>
            <w:vAlign w:val="center"/>
            <w:hideMark/>
          </w:tcPr>
          <w:p w14:paraId="538785FA"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112BA928"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5305152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Garantizar que todos los equipos conectados a la red se encuentren sincronizando relojes con el controlador de dominio.</w:t>
            </w:r>
          </w:p>
        </w:tc>
        <w:tc>
          <w:tcPr>
            <w:tcW w:w="1843" w:type="dxa"/>
          </w:tcPr>
          <w:p w14:paraId="05089CA3"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4C477BD0" w14:textId="77777777" w:rsidTr="004A6248">
        <w:trPr>
          <w:trHeight w:val="20"/>
        </w:trPr>
        <w:tc>
          <w:tcPr>
            <w:tcW w:w="546" w:type="dxa"/>
            <w:shd w:val="clear" w:color="000000" w:fill="538DD5"/>
            <w:vAlign w:val="center"/>
            <w:hideMark/>
          </w:tcPr>
          <w:p w14:paraId="2B726992"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12.5</w:t>
            </w:r>
          </w:p>
        </w:tc>
        <w:tc>
          <w:tcPr>
            <w:tcW w:w="10653" w:type="dxa"/>
            <w:gridSpan w:val="6"/>
            <w:shd w:val="clear" w:color="000000" w:fill="538DD5"/>
            <w:vAlign w:val="center"/>
            <w:hideMark/>
          </w:tcPr>
          <w:p w14:paraId="5F48DD1B"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Control de software operacional</w:t>
            </w:r>
          </w:p>
        </w:tc>
        <w:tc>
          <w:tcPr>
            <w:tcW w:w="851" w:type="dxa"/>
            <w:shd w:val="clear" w:color="000000" w:fill="538DD5"/>
            <w:vAlign w:val="center"/>
            <w:hideMark/>
          </w:tcPr>
          <w:p w14:paraId="09573133"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100%</w:t>
            </w:r>
          </w:p>
        </w:tc>
        <w:tc>
          <w:tcPr>
            <w:tcW w:w="3827" w:type="dxa"/>
            <w:shd w:val="clear" w:color="000000" w:fill="538DD5"/>
            <w:vAlign w:val="center"/>
            <w:hideMark/>
          </w:tcPr>
          <w:p w14:paraId="71072394"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39ECCB7E"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24DD4E25" w14:textId="77777777" w:rsidTr="004A6248">
        <w:trPr>
          <w:trHeight w:val="20"/>
        </w:trPr>
        <w:tc>
          <w:tcPr>
            <w:tcW w:w="546" w:type="dxa"/>
            <w:shd w:val="clear" w:color="000000" w:fill="538DD5"/>
            <w:vAlign w:val="center"/>
            <w:hideMark/>
          </w:tcPr>
          <w:p w14:paraId="6D65A8A3"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70035964"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Asegurarse de la integridad de los sistemas operacionales.</w:t>
            </w:r>
          </w:p>
        </w:tc>
        <w:tc>
          <w:tcPr>
            <w:tcW w:w="851" w:type="dxa"/>
            <w:shd w:val="clear" w:color="000000" w:fill="538DD5"/>
            <w:vAlign w:val="center"/>
            <w:hideMark/>
          </w:tcPr>
          <w:p w14:paraId="4B894BFC"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3827" w:type="dxa"/>
            <w:shd w:val="clear" w:color="000000" w:fill="538DD5"/>
            <w:vAlign w:val="center"/>
            <w:hideMark/>
          </w:tcPr>
          <w:p w14:paraId="6D34E9B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21F73C9E"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6F00F897" w14:textId="77777777" w:rsidTr="004A6248">
        <w:trPr>
          <w:trHeight w:val="20"/>
        </w:trPr>
        <w:tc>
          <w:tcPr>
            <w:tcW w:w="546" w:type="dxa"/>
            <w:shd w:val="clear" w:color="auto" w:fill="auto"/>
            <w:vAlign w:val="center"/>
            <w:hideMark/>
          </w:tcPr>
          <w:p w14:paraId="590BA5A0"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12.5.1</w:t>
            </w:r>
          </w:p>
        </w:tc>
        <w:tc>
          <w:tcPr>
            <w:tcW w:w="1156" w:type="dxa"/>
            <w:shd w:val="clear" w:color="auto" w:fill="auto"/>
            <w:vAlign w:val="center"/>
            <w:hideMark/>
          </w:tcPr>
          <w:p w14:paraId="2EDDD034"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Instalación de software en sistemas operativos</w:t>
            </w:r>
          </w:p>
        </w:tc>
        <w:tc>
          <w:tcPr>
            <w:tcW w:w="2551" w:type="dxa"/>
            <w:shd w:val="clear" w:color="auto" w:fill="auto"/>
            <w:vAlign w:val="center"/>
            <w:hideMark/>
          </w:tcPr>
          <w:p w14:paraId="0E89360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implementar procedimientos para controlar la instalación de software en sistemas operativos.</w:t>
            </w:r>
          </w:p>
        </w:tc>
        <w:tc>
          <w:tcPr>
            <w:tcW w:w="826" w:type="dxa"/>
            <w:shd w:val="clear" w:color="000000" w:fill="008000"/>
            <w:vAlign w:val="center"/>
            <w:hideMark/>
          </w:tcPr>
          <w:p w14:paraId="40E99968"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5CAF0AD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usuarios no tienen permitida la instalación de software sin la autorización de la mesa de ayuda o de la OTIC</w:t>
            </w:r>
          </w:p>
        </w:tc>
        <w:tc>
          <w:tcPr>
            <w:tcW w:w="1275" w:type="dxa"/>
            <w:shd w:val="clear" w:color="000000" w:fill="92D050"/>
            <w:vAlign w:val="center"/>
            <w:hideMark/>
          </w:tcPr>
          <w:p w14:paraId="423FAEB3"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SI</w:t>
            </w:r>
          </w:p>
        </w:tc>
        <w:tc>
          <w:tcPr>
            <w:tcW w:w="1276" w:type="dxa"/>
            <w:shd w:val="clear" w:color="000000" w:fill="00B050"/>
            <w:vAlign w:val="center"/>
            <w:hideMark/>
          </w:tcPr>
          <w:p w14:paraId="201DE5A4"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Optimizado</w:t>
            </w:r>
          </w:p>
        </w:tc>
        <w:tc>
          <w:tcPr>
            <w:tcW w:w="851" w:type="dxa"/>
            <w:shd w:val="clear" w:color="auto" w:fill="auto"/>
            <w:vAlign w:val="center"/>
            <w:hideMark/>
          </w:tcPr>
          <w:p w14:paraId="35FF8B89"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100%</w:t>
            </w:r>
          </w:p>
        </w:tc>
        <w:tc>
          <w:tcPr>
            <w:tcW w:w="3827" w:type="dxa"/>
            <w:shd w:val="clear" w:color="auto" w:fill="auto"/>
            <w:vAlign w:val="center"/>
            <w:hideMark/>
          </w:tcPr>
          <w:p w14:paraId="2798E123"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Realizar seguimiento a la instalación de software no autorizado en equipos de la red</w:t>
            </w:r>
          </w:p>
        </w:tc>
        <w:tc>
          <w:tcPr>
            <w:tcW w:w="1843" w:type="dxa"/>
          </w:tcPr>
          <w:p w14:paraId="2F01B171"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7E1AC67C" w14:textId="77777777" w:rsidTr="004A6248">
        <w:trPr>
          <w:trHeight w:val="20"/>
        </w:trPr>
        <w:tc>
          <w:tcPr>
            <w:tcW w:w="546" w:type="dxa"/>
            <w:shd w:val="clear" w:color="000000" w:fill="538DD5"/>
            <w:vAlign w:val="center"/>
            <w:hideMark/>
          </w:tcPr>
          <w:p w14:paraId="134DB012"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12.6</w:t>
            </w:r>
          </w:p>
        </w:tc>
        <w:tc>
          <w:tcPr>
            <w:tcW w:w="10653" w:type="dxa"/>
            <w:gridSpan w:val="6"/>
            <w:shd w:val="clear" w:color="000000" w:fill="538DD5"/>
            <w:vAlign w:val="center"/>
            <w:hideMark/>
          </w:tcPr>
          <w:p w14:paraId="266855B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Gestión de la vulnerabilidad técnica</w:t>
            </w:r>
          </w:p>
        </w:tc>
        <w:tc>
          <w:tcPr>
            <w:tcW w:w="851" w:type="dxa"/>
            <w:shd w:val="clear" w:color="000000" w:fill="538DD5"/>
            <w:vAlign w:val="center"/>
            <w:hideMark/>
          </w:tcPr>
          <w:p w14:paraId="0BAD29A5"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90%</w:t>
            </w:r>
          </w:p>
        </w:tc>
        <w:tc>
          <w:tcPr>
            <w:tcW w:w="3827" w:type="dxa"/>
            <w:shd w:val="clear" w:color="000000" w:fill="538DD5"/>
            <w:vAlign w:val="center"/>
            <w:hideMark/>
          </w:tcPr>
          <w:p w14:paraId="0D236275"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2184C8DF"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05E8A932" w14:textId="77777777" w:rsidTr="004A6248">
        <w:trPr>
          <w:trHeight w:val="20"/>
        </w:trPr>
        <w:tc>
          <w:tcPr>
            <w:tcW w:w="546" w:type="dxa"/>
            <w:shd w:val="clear" w:color="000000" w:fill="538DD5"/>
            <w:vAlign w:val="center"/>
            <w:hideMark/>
          </w:tcPr>
          <w:p w14:paraId="643D7B15"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25A7AE2C"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Prevenir el aprovechamiento de las vulnerabilidades técnicas.</w:t>
            </w:r>
          </w:p>
        </w:tc>
        <w:tc>
          <w:tcPr>
            <w:tcW w:w="851" w:type="dxa"/>
            <w:shd w:val="clear" w:color="000000" w:fill="538DD5"/>
            <w:vAlign w:val="center"/>
            <w:hideMark/>
          </w:tcPr>
          <w:p w14:paraId="2CD183C9"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3827" w:type="dxa"/>
            <w:shd w:val="clear" w:color="000000" w:fill="538DD5"/>
            <w:vAlign w:val="center"/>
            <w:hideMark/>
          </w:tcPr>
          <w:p w14:paraId="7CB97987"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843" w:type="dxa"/>
            <w:shd w:val="clear" w:color="000000" w:fill="538DD5"/>
          </w:tcPr>
          <w:p w14:paraId="72782321" w14:textId="77777777" w:rsidR="004A6248" w:rsidRPr="00795864" w:rsidRDefault="004A6248" w:rsidP="000F099B">
            <w:pPr>
              <w:rPr>
                <w:rFonts w:asciiTheme="majorHAnsi" w:eastAsia="Times New Roman" w:hAnsiTheme="majorHAnsi" w:cstheme="majorHAnsi"/>
                <w:color w:val="FFFFFF"/>
                <w:sz w:val="16"/>
                <w:szCs w:val="16"/>
                <w:lang w:val="es-CO" w:eastAsia="es-CO"/>
              </w:rPr>
            </w:pPr>
          </w:p>
        </w:tc>
      </w:tr>
      <w:tr w:rsidR="004A6248" w:rsidRPr="00795864" w14:paraId="370480C5" w14:textId="77777777" w:rsidTr="004A6248">
        <w:trPr>
          <w:trHeight w:val="20"/>
        </w:trPr>
        <w:tc>
          <w:tcPr>
            <w:tcW w:w="546" w:type="dxa"/>
            <w:shd w:val="clear" w:color="auto" w:fill="auto"/>
            <w:vAlign w:val="center"/>
            <w:hideMark/>
          </w:tcPr>
          <w:p w14:paraId="49AF8E8C"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12.6.1</w:t>
            </w:r>
          </w:p>
        </w:tc>
        <w:tc>
          <w:tcPr>
            <w:tcW w:w="1156" w:type="dxa"/>
            <w:shd w:val="clear" w:color="auto" w:fill="auto"/>
            <w:vAlign w:val="center"/>
            <w:hideMark/>
          </w:tcPr>
          <w:p w14:paraId="6EFC713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Gestión de las vulnerabilidades técnicas</w:t>
            </w:r>
          </w:p>
        </w:tc>
        <w:tc>
          <w:tcPr>
            <w:tcW w:w="2551" w:type="dxa"/>
            <w:shd w:val="clear" w:color="auto" w:fill="auto"/>
            <w:vAlign w:val="center"/>
            <w:hideMark/>
          </w:tcPr>
          <w:p w14:paraId="65903B7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 obtener oportunamente información acerca de las vulnerabilidades técnicas de los sistemas de información que se usen; evaluar la exposición de la organización a estas vulnerabilidades, y tomar las medidas apropiadas para tratar el riesgo asociado.</w:t>
            </w:r>
          </w:p>
        </w:tc>
        <w:tc>
          <w:tcPr>
            <w:tcW w:w="826" w:type="dxa"/>
            <w:shd w:val="clear" w:color="000000" w:fill="008000"/>
            <w:vAlign w:val="center"/>
            <w:hideMark/>
          </w:tcPr>
          <w:p w14:paraId="694576FA"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28F24A9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El último análisis de vulnerabilidades se realizó en el 2014 por parte de la OTIC</w:t>
            </w:r>
            <w:r w:rsidRPr="00795864">
              <w:rPr>
                <w:rFonts w:asciiTheme="majorHAnsi" w:eastAsia="Times New Roman" w:hAnsiTheme="majorHAnsi" w:cstheme="majorHAnsi"/>
                <w:color w:val="000000"/>
                <w:sz w:val="16"/>
                <w:szCs w:val="16"/>
                <w:lang w:val="es-CO" w:eastAsia="es-CO"/>
              </w:rPr>
              <w:br/>
              <w:t>* Los análisis de vulnerabilidades se hacen cada vez que se contrata a un tercero, año 2014 y 2018 y se hacen únicamente para servidores de función critica.</w:t>
            </w:r>
            <w:r w:rsidRPr="00795864">
              <w:rPr>
                <w:rFonts w:asciiTheme="majorHAnsi" w:eastAsia="Times New Roman" w:hAnsiTheme="majorHAnsi" w:cstheme="majorHAnsi"/>
                <w:color w:val="000000"/>
                <w:sz w:val="16"/>
                <w:szCs w:val="16"/>
                <w:lang w:val="es-CO" w:eastAsia="es-CO"/>
              </w:rPr>
              <w:br/>
              <w:t>* Se realiza actualización de los sistemas operativos mediante WSUS.</w:t>
            </w:r>
            <w:r w:rsidRPr="00795864">
              <w:rPr>
                <w:rFonts w:asciiTheme="majorHAnsi" w:eastAsia="Times New Roman" w:hAnsiTheme="majorHAnsi" w:cstheme="majorHAnsi"/>
                <w:color w:val="000000"/>
                <w:sz w:val="16"/>
                <w:szCs w:val="16"/>
                <w:lang w:val="es-CO" w:eastAsia="es-CO"/>
              </w:rPr>
              <w:br/>
              <w:t>* También se gestionan posibles incidentes según boletines de COLCERT</w:t>
            </w:r>
            <w:r w:rsidRPr="00795864">
              <w:rPr>
                <w:rFonts w:asciiTheme="majorHAnsi" w:eastAsia="Times New Roman" w:hAnsiTheme="majorHAnsi" w:cstheme="majorHAnsi"/>
                <w:color w:val="000000"/>
                <w:sz w:val="16"/>
                <w:szCs w:val="16"/>
                <w:lang w:val="es-CO" w:eastAsia="es-CO"/>
              </w:rPr>
              <w:br/>
              <w:t>* Algunos proveedores como los del firewall, gestionan las vulnerabilidades proactivamente.</w:t>
            </w:r>
          </w:p>
        </w:tc>
        <w:tc>
          <w:tcPr>
            <w:tcW w:w="1275" w:type="dxa"/>
            <w:shd w:val="clear" w:color="000000" w:fill="E26B0A"/>
            <w:vAlign w:val="center"/>
            <w:hideMark/>
          </w:tcPr>
          <w:p w14:paraId="72250AD3"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70C0"/>
            <w:vAlign w:val="center"/>
            <w:hideMark/>
          </w:tcPr>
          <w:p w14:paraId="121D3DC9"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06D808B0"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28D1F20D"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Realizar análisis de vulnerabilidades periódicos</w:t>
            </w:r>
          </w:p>
        </w:tc>
        <w:tc>
          <w:tcPr>
            <w:tcW w:w="1843" w:type="dxa"/>
          </w:tcPr>
          <w:p w14:paraId="193F9359"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2EB976D9" w14:textId="77777777" w:rsidTr="004A6248">
        <w:trPr>
          <w:trHeight w:val="1100"/>
        </w:trPr>
        <w:tc>
          <w:tcPr>
            <w:tcW w:w="546" w:type="dxa"/>
            <w:shd w:val="clear" w:color="auto" w:fill="auto"/>
            <w:vAlign w:val="center"/>
            <w:hideMark/>
          </w:tcPr>
          <w:p w14:paraId="42CCCB53"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12.6.2</w:t>
            </w:r>
          </w:p>
        </w:tc>
        <w:tc>
          <w:tcPr>
            <w:tcW w:w="1156" w:type="dxa"/>
            <w:shd w:val="clear" w:color="auto" w:fill="auto"/>
            <w:vAlign w:val="center"/>
            <w:hideMark/>
          </w:tcPr>
          <w:p w14:paraId="45A10D1D"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Restricciones sobre la instalación de software</w:t>
            </w:r>
          </w:p>
        </w:tc>
        <w:tc>
          <w:tcPr>
            <w:tcW w:w="2551" w:type="dxa"/>
            <w:shd w:val="clear" w:color="auto" w:fill="auto"/>
            <w:vAlign w:val="center"/>
            <w:hideMark/>
          </w:tcPr>
          <w:p w14:paraId="4E80E2D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 establecer e implementar el reglamento de instalación de software por parte de los usuarios.</w:t>
            </w:r>
          </w:p>
        </w:tc>
        <w:tc>
          <w:tcPr>
            <w:tcW w:w="826" w:type="dxa"/>
            <w:shd w:val="clear" w:color="000000" w:fill="008000"/>
            <w:vAlign w:val="center"/>
            <w:hideMark/>
          </w:tcPr>
          <w:p w14:paraId="418AE24A"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081813B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usuarios no tienen permitida la instalación de software sin la autorización de la mesa de ayuda o de la OTIC</w:t>
            </w:r>
          </w:p>
        </w:tc>
        <w:tc>
          <w:tcPr>
            <w:tcW w:w="1275" w:type="dxa"/>
            <w:shd w:val="clear" w:color="000000" w:fill="92D050"/>
            <w:vAlign w:val="center"/>
            <w:hideMark/>
          </w:tcPr>
          <w:p w14:paraId="1EB91D5D"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SI</w:t>
            </w:r>
          </w:p>
        </w:tc>
        <w:tc>
          <w:tcPr>
            <w:tcW w:w="1276" w:type="dxa"/>
            <w:shd w:val="clear" w:color="000000" w:fill="00B050"/>
            <w:vAlign w:val="center"/>
            <w:hideMark/>
          </w:tcPr>
          <w:p w14:paraId="3EA83002"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Optimizado</w:t>
            </w:r>
          </w:p>
        </w:tc>
        <w:tc>
          <w:tcPr>
            <w:tcW w:w="851" w:type="dxa"/>
            <w:shd w:val="clear" w:color="auto" w:fill="auto"/>
            <w:vAlign w:val="center"/>
            <w:hideMark/>
          </w:tcPr>
          <w:p w14:paraId="5546918B"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100%</w:t>
            </w:r>
          </w:p>
        </w:tc>
        <w:tc>
          <w:tcPr>
            <w:tcW w:w="3827" w:type="dxa"/>
            <w:shd w:val="clear" w:color="auto" w:fill="auto"/>
            <w:vAlign w:val="center"/>
            <w:hideMark/>
          </w:tcPr>
          <w:p w14:paraId="0F4A7304"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Realizar seguimiento a la instalación de software no autorizado en equipos de la red</w:t>
            </w:r>
          </w:p>
        </w:tc>
        <w:tc>
          <w:tcPr>
            <w:tcW w:w="1843" w:type="dxa"/>
          </w:tcPr>
          <w:p w14:paraId="362B1B0C"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06706DA1" w14:textId="77777777" w:rsidTr="004A6248">
        <w:trPr>
          <w:trHeight w:val="20"/>
        </w:trPr>
        <w:tc>
          <w:tcPr>
            <w:tcW w:w="546" w:type="dxa"/>
            <w:shd w:val="clear" w:color="000000" w:fill="538DD5"/>
            <w:vAlign w:val="center"/>
            <w:hideMark/>
          </w:tcPr>
          <w:p w14:paraId="1C11345B"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12.7</w:t>
            </w:r>
          </w:p>
        </w:tc>
        <w:tc>
          <w:tcPr>
            <w:tcW w:w="10653" w:type="dxa"/>
            <w:gridSpan w:val="6"/>
            <w:shd w:val="clear" w:color="000000" w:fill="538DD5"/>
            <w:vAlign w:val="center"/>
            <w:hideMark/>
          </w:tcPr>
          <w:p w14:paraId="5B125283"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Consideraciones de auditoría de los sistemas de información</w:t>
            </w:r>
          </w:p>
        </w:tc>
        <w:tc>
          <w:tcPr>
            <w:tcW w:w="851" w:type="dxa"/>
            <w:shd w:val="clear" w:color="000000" w:fill="538DD5"/>
            <w:vAlign w:val="center"/>
            <w:hideMark/>
          </w:tcPr>
          <w:p w14:paraId="68F4420E"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80%</w:t>
            </w:r>
          </w:p>
        </w:tc>
        <w:tc>
          <w:tcPr>
            <w:tcW w:w="3827" w:type="dxa"/>
            <w:shd w:val="clear" w:color="000000" w:fill="538DD5"/>
            <w:vAlign w:val="center"/>
            <w:hideMark/>
          </w:tcPr>
          <w:p w14:paraId="7D970473"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2592A92A"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353779F1" w14:textId="77777777" w:rsidTr="004A6248">
        <w:trPr>
          <w:trHeight w:val="20"/>
        </w:trPr>
        <w:tc>
          <w:tcPr>
            <w:tcW w:w="546" w:type="dxa"/>
            <w:shd w:val="clear" w:color="000000" w:fill="538DD5"/>
            <w:vAlign w:val="center"/>
            <w:hideMark/>
          </w:tcPr>
          <w:p w14:paraId="222A63E6"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4F47410D"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Minimizar el impacto de las actividades de auditoría sobre los sistemas operativos.</w:t>
            </w:r>
          </w:p>
        </w:tc>
        <w:tc>
          <w:tcPr>
            <w:tcW w:w="851" w:type="dxa"/>
            <w:shd w:val="clear" w:color="000000" w:fill="538DD5"/>
            <w:vAlign w:val="center"/>
            <w:hideMark/>
          </w:tcPr>
          <w:p w14:paraId="7B976909"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3827" w:type="dxa"/>
            <w:shd w:val="clear" w:color="000000" w:fill="538DD5"/>
            <w:vAlign w:val="center"/>
            <w:hideMark/>
          </w:tcPr>
          <w:p w14:paraId="7AA56BE3"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843" w:type="dxa"/>
            <w:shd w:val="clear" w:color="000000" w:fill="538DD5"/>
          </w:tcPr>
          <w:p w14:paraId="3728D9C7" w14:textId="77777777" w:rsidR="004A6248" w:rsidRPr="00795864" w:rsidRDefault="004A6248" w:rsidP="000F099B">
            <w:pPr>
              <w:rPr>
                <w:rFonts w:asciiTheme="majorHAnsi" w:eastAsia="Times New Roman" w:hAnsiTheme="majorHAnsi" w:cstheme="majorHAnsi"/>
                <w:color w:val="FFFFFF"/>
                <w:sz w:val="16"/>
                <w:szCs w:val="16"/>
                <w:lang w:val="es-CO" w:eastAsia="es-CO"/>
              </w:rPr>
            </w:pPr>
          </w:p>
        </w:tc>
      </w:tr>
      <w:tr w:rsidR="004A6248" w:rsidRPr="00795864" w14:paraId="599164CE" w14:textId="77777777" w:rsidTr="004A6248">
        <w:trPr>
          <w:trHeight w:val="2316"/>
        </w:trPr>
        <w:tc>
          <w:tcPr>
            <w:tcW w:w="546" w:type="dxa"/>
            <w:shd w:val="clear" w:color="auto" w:fill="auto"/>
            <w:vAlign w:val="center"/>
            <w:hideMark/>
          </w:tcPr>
          <w:p w14:paraId="2C4DD371"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lastRenderedPageBreak/>
              <w:t>12.7.1</w:t>
            </w:r>
          </w:p>
        </w:tc>
        <w:tc>
          <w:tcPr>
            <w:tcW w:w="1156" w:type="dxa"/>
            <w:shd w:val="clear" w:color="auto" w:fill="auto"/>
            <w:vAlign w:val="center"/>
            <w:hideMark/>
          </w:tcPr>
          <w:p w14:paraId="40B55511"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Controles de auditoría de los sistemas de información</w:t>
            </w:r>
          </w:p>
        </w:tc>
        <w:tc>
          <w:tcPr>
            <w:tcW w:w="2551" w:type="dxa"/>
            <w:shd w:val="clear" w:color="auto" w:fill="auto"/>
            <w:vAlign w:val="center"/>
            <w:hideMark/>
          </w:tcPr>
          <w:p w14:paraId="078D3DCD"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requisitos y actividades de auditoría que involucran la verificación de los sistemas operativos se deben planificar y acordar cuidadosamente para minimizar las interrupciones en los procesos del negocio.</w:t>
            </w:r>
          </w:p>
        </w:tc>
        <w:tc>
          <w:tcPr>
            <w:tcW w:w="826" w:type="dxa"/>
            <w:shd w:val="clear" w:color="000000" w:fill="008000"/>
            <w:vAlign w:val="center"/>
            <w:hideMark/>
          </w:tcPr>
          <w:p w14:paraId="5088A608"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2556627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Se tiene logs de eventos, de sistema, de aplicación.</w:t>
            </w:r>
            <w:r w:rsidRPr="00795864">
              <w:rPr>
                <w:rFonts w:asciiTheme="majorHAnsi" w:eastAsia="Times New Roman" w:hAnsiTheme="majorHAnsi" w:cstheme="majorHAnsi"/>
                <w:color w:val="000000"/>
                <w:sz w:val="16"/>
                <w:szCs w:val="16"/>
                <w:lang w:val="es-CO" w:eastAsia="es-CO"/>
              </w:rPr>
              <w:br/>
              <w:t>* Todos los logs de auditoria están habilitados</w:t>
            </w:r>
            <w:r w:rsidRPr="00795864">
              <w:rPr>
                <w:rFonts w:asciiTheme="majorHAnsi" w:eastAsia="Times New Roman" w:hAnsiTheme="majorHAnsi" w:cstheme="majorHAnsi"/>
                <w:color w:val="000000"/>
                <w:sz w:val="16"/>
                <w:szCs w:val="16"/>
                <w:lang w:val="es-CO" w:eastAsia="es-CO"/>
              </w:rPr>
              <w:br/>
              <w:t>* Los logs se conservan por 6 meses</w:t>
            </w:r>
            <w:r w:rsidRPr="00795864">
              <w:rPr>
                <w:rFonts w:asciiTheme="majorHAnsi" w:eastAsia="Times New Roman" w:hAnsiTheme="majorHAnsi" w:cstheme="majorHAnsi"/>
                <w:color w:val="000000"/>
                <w:sz w:val="16"/>
                <w:szCs w:val="16"/>
                <w:lang w:val="es-CO" w:eastAsia="es-CO"/>
              </w:rPr>
              <w:br/>
              <w:t xml:space="preserve">* No se tiene </w:t>
            </w:r>
            <w:proofErr w:type="spellStart"/>
            <w:r w:rsidRPr="00795864">
              <w:rPr>
                <w:rFonts w:asciiTheme="majorHAnsi" w:eastAsia="Times New Roman" w:hAnsiTheme="majorHAnsi" w:cstheme="majorHAnsi"/>
                <w:color w:val="000000"/>
                <w:sz w:val="16"/>
                <w:szCs w:val="16"/>
                <w:lang w:val="es-CO" w:eastAsia="es-CO"/>
              </w:rPr>
              <w:t>backups</w:t>
            </w:r>
            <w:proofErr w:type="spellEnd"/>
            <w:r w:rsidRPr="00795864">
              <w:rPr>
                <w:rFonts w:asciiTheme="majorHAnsi" w:eastAsia="Times New Roman" w:hAnsiTheme="majorHAnsi" w:cstheme="majorHAnsi"/>
                <w:color w:val="000000"/>
                <w:sz w:val="16"/>
                <w:szCs w:val="16"/>
                <w:lang w:val="es-CO" w:eastAsia="es-CO"/>
              </w:rPr>
              <w:t xml:space="preserve"> de los logs se van reemplazando automáticamente.</w:t>
            </w:r>
          </w:p>
        </w:tc>
        <w:tc>
          <w:tcPr>
            <w:tcW w:w="1275" w:type="dxa"/>
            <w:shd w:val="clear" w:color="000000" w:fill="E26B0A"/>
            <w:vAlign w:val="center"/>
            <w:hideMark/>
          </w:tcPr>
          <w:p w14:paraId="7E0C35BC"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70C0"/>
            <w:vAlign w:val="center"/>
            <w:hideMark/>
          </w:tcPr>
          <w:p w14:paraId="35766A94"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1AE37E38"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246DE4A4"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Desarrollar políticas relacionadas con registros de auditoria en la plataforma tecnológica del INS</w:t>
            </w:r>
          </w:p>
        </w:tc>
        <w:tc>
          <w:tcPr>
            <w:tcW w:w="1843" w:type="dxa"/>
          </w:tcPr>
          <w:p w14:paraId="26E92732"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3F542519" w14:textId="77777777" w:rsidTr="004A6248">
        <w:trPr>
          <w:trHeight w:val="20"/>
        </w:trPr>
        <w:tc>
          <w:tcPr>
            <w:tcW w:w="546" w:type="dxa"/>
            <w:shd w:val="clear" w:color="000000" w:fill="1F497D"/>
            <w:vAlign w:val="center"/>
            <w:hideMark/>
          </w:tcPr>
          <w:p w14:paraId="39D52327"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13</w:t>
            </w:r>
          </w:p>
        </w:tc>
        <w:tc>
          <w:tcPr>
            <w:tcW w:w="10653" w:type="dxa"/>
            <w:gridSpan w:val="6"/>
            <w:shd w:val="clear" w:color="000000" w:fill="1F497D"/>
            <w:vAlign w:val="center"/>
            <w:hideMark/>
          </w:tcPr>
          <w:p w14:paraId="40B273B9"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SEGURIDAD DE LAS COMUNICACIONES</w:t>
            </w:r>
          </w:p>
        </w:tc>
        <w:tc>
          <w:tcPr>
            <w:tcW w:w="851" w:type="dxa"/>
            <w:shd w:val="clear" w:color="000000" w:fill="1F497D"/>
            <w:vAlign w:val="center"/>
            <w:hideMark/>
          </w:tcPr>
          <w:p w14:paraId="190E50E8"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76%</w:t>
            </w:r>
          </w:p>
        </w:tc>
        <w:tc>
          <w:tcPr>
            <w:tcW w:w="3827" w:type="dxa"/>
            <w:shd w:val="clear" w:color="000000" w:fill="1F497D"/>
            <w:vAlign w:val="center"/>
            <w:hideMark/>
          </w:tcPr>
          <w:p w14:paraId="55429FCF"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1F497D"/>
          </w:tcPr>
          <w:p w14:paraId="77F9A5A2"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7D288058" w14:textId="77777777" w:rsidTr="004A6248">
        <w:trPr>
          <w:trHeight w:val="20"/>
        </w:trPr>
        <w:tc>
          <w:tcPr>
            <w:tcW w:w="546" w:type="dxa"/>
            <w:shd w:val="clear" w:color="000000" w:fill="538DD5"/>
            <w:vAlign w:val="center"/>
            <w:hideMark/>
          </w:tcPr>
          <w:p w14:paraId="1A2003A1"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13.1</w:t>
            </w:r>
          </w:p>
        </w:tc>
        <w:tc>
          <w:tcPr>
            <w:tcW w:w="10653" w:type="dxa"/>
            <w:gridSpan w:val="6"/>
            <w:shd w:val="clear" w:color="000000" w:fill="538DD5"/>
            <w:vAlign w:val="center"/>
            <w:hideMark/>
          </w:tcPr>
          <w:p w14:paraId="5937FF45"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Gestión de seguridad de redes</w:t>
            </w:r>
          </w:p>
        </w:tc>
        <w:tc>
          <w:tcPr>
            <w:tcW w:w="851" w:type="dxa"/>
            <w:shd w:val="clear" w:color="000000" w:fill="538DD5"/>
            <w:vAlign w:val="center"/>
            <w:hideMark/>
          </w:tcPr>
          <w:p w14:paraId="5448D45B"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67%</w:t>
            </w:r>
          </w:p>
        </w:tc>
        <w:tc>
          <w:tcPr>
            <w:tcW w:w="3827" w:type="dxa"/>
            <w:shd w:val="clear" w:color="000000" w:fill="538DD5"/>
            <w:vAlign w:val="center"/>
            <w:hideMark/>
          </w:tcPr>
          <w:p w14:paraId="09077C2E"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7F33B15F"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367E2D4A" w14:textId="77777777" w:rsidTr="004A6248">
        <w:trPr>
          <w:trHeight w:val="20"/>
        </w:trPr>
        <w:tc>
          <w:tcPr>
            <w:tcW w:w="546" w:type="dxa"/>
            <w:shd w:val="clear" w:color="000000" w:fill="538DD5"/>
            <w:vAlign w:val="center"/>
            <w:hideMark/>
          </w:tcPr>
          <w:p w14:paraId="15D0B379"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0281D40B"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Asegurar la protección de la información en las redes, y sus instalaciones de procesamiento de información de soporte.</w:t>
            </w:r>
          </w:p>
        </w:tc>
        <w:tc>
          <w:tcPr>
            <w:tcW w:w="851" w:type="dxa"/>
            <w:shd w:val="clear" w:color="000000" w:fill="538DD5"/>
            <w:vAlign w:val="center"/>
            <w:hideMark/>
          </w:tcPr>
          <w:p w14:paraId="49B06E7B"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3827" w:type="dxa"/>
            <w:shd w:val="clear" w:color="000000" w:fill="538DD5"/>
            <w:vAlign w:val="center"/>
            <w:hideMark/>
          </w:tcPr>
          <w:p w14:paraId="108B3F47"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843" w:type="dxa"/>
            <w:shd w:val="clear" w:color="000000" w:fill="538DD5"/>
          </w:tcPr>
          <w:p w14:paraId="49074210" w14:textId="77777777" w:rsidR="004A6248" w:rsidRPr="00795864" w:rsidRDefault="004A6248" w:rsidP="000F099B">
            <w:pPr>
              <w:rPr>
                <w:rFonts w:asciiTheme="majorHAnsi" w:eastAsia="Times New Roman" w:hAnsiTheme="majorHAnsi" w:cstheme="majorHAnsi"/>
                <w:color w:val="FFFFFF"/>
                <w:sz w:val="16"/>
                <w:szCs w:val="16"/>
                <w:lang w:val="es-CO" w:eastAsia="es-CO"/>
              </w:rPr>
            </w:pPr>
          </w:p>
        </w:tc>
      </w:tr>
      <w:tr w:rsidR="004A6248" w:rsidRPr="00795864" w14:paraId="4038BAED" w14:textId="77777777" w:rsidTr="004A6248">
        <w:trPr>
          <w:trHeight w:val="20"/>
        </w:trPr>
        <w:tc>
          <w:tcPr>
            <w:tcW w:w="546" w:type="dxa"/>
            <w:shd w:val="clear" w:color="auto" w:fill="auto"/>
            <w:vAlign w:val="center"/>
            <w:hideMark/>
          </w:tcPr>
          <w:p w14:paraId="219C42AE"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13.1.1</w:t>
            </w:r>
          </w:p>
        </w:tc>
        <w:tc>
          <w:tcPr>
            <w:tcW w:w="1156" w:type="dxa"/>
            <w:shd w:val="clear" w:color="auto" w:fill="auto"/>
            <w:vAlign w:val="center"/>
            <w:hideMark/>
          </w:tcPr>
          <w:p w14:paraId="02B6DC0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Controles de redes</w:t>
            </w:r>
          </w:p>
        </w:tc>
        <w:tc>
          <w:tcPr>
            <w:tcW w:w="2551" w:type="dxa"/>
            <w:shd w:val="clear" w:color="auto" w:fill="auto"/>
            <w:vAlign w:val="center"/>
            <w:hideMark/>
          </w:tcPr>
          <w:p w14:paraId="3C24226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Las redes se deben gestionar y controlar para proteger la información en los sistemas y aplicaciones.</w:t>
            </w:r>
          </w:p>
        </w:tc>
        <w:tc>
          <w:tcPr>
            <w:tcW w:w="826" w:type="dxa"/>
            <w:shd w:val="clear" w:color="000000" w:fill="008000"/>
            <w:vAlign w:val="center"/>
            <w:hideMark/>
          </w:tcPr>
          <w:p w14:paraId="5148C128"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6F26F00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Se cuenta con firewall perimetral únicamente</w:t>
            </w:r>
            <w:r w:rsidRPr="00795864">
              <w:rPr>
                <w:rFonts w:asciiTheme="majorHAnsi" w:eastAsia="Times New Roman" w:hAnsiTheme="majorHAnsi" w:cstheme="majorHAnsi"/>
                <w:color w:val="000000"/>
                <w:sz w:val="16"/>
                <w:szCs w:val="16"/>
                <w:lang w:val="es-CO" w:eastAsia="es-CO"/>
              </w:rPr>
              <w:br/>
              <w:t>* La red se encuentra segmentada por: DMZ, usuarios y proveedores</w:t>
            </w:r>
            <w:r w:rsidRPr="00795864">
              <w:rPr>
                <w:rFonts w:asciiTheme="majorHAnsi" w:eastAsia="Times New Roman" w:hAnsiTheme="majorHAnsi" w:cstheme="majorHAnsi"/>
                <w:color w:val="000000"/>
                <w:sz w:val="16"/>
                <w:szCs w:val="16"/>
                <w:lang w:val="es-CO" w:eastAsia="es-CO"/>
              </w:rPr>
              <w:br/>
              <w:t>* No se tienen controles adicionales en la red interna.</w:t>
            </w:r>
          </w:p>
        </w:tc>
        <w:tc>
          <w:tcPr>
            <w:tcW w:w="1275" w:type="dxa"/>
            <w:shd w:val="clear" w:color="000000" w:fill="E26B0A"/>
            <w:vAlign w:val="center"/>
            <w:hideMark/>
          </w:tcPr>
          <w:p w14:paraId="43D3F85E"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B0F0"/>
            <w:vAlign w:val="center"/>
            <w:hideMark/>
          </w:tcPr>
          <w:p w14:paraId="35EBF94D"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Definido</w:t>
            </w:r>
          </w:p>
        </w:tc>
        <w:tc>
          <w:tcPr>
            <w:tcW w:w="851" w:type="dxa"/>
            <w:shd w:val="clear" w:color="auto" w:fill="auto"/>
            <w:vAlign w:val="center"/>
            <w:hideMark/>
          </w:tcPr>
          <w:p w14:paraId="38C7DFEE"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60%</w:t>
            </w:r>
          </w:p>
        </w:tc>
        <w:tc>
          <w:tcPr>
            <w:tcW w:w="3827" w:type="dxa"/>
            <w:shd w:val="clear" w:color="auto" w:fill="auto"/>
            <w:vAlign w:val="center"/>
            <w:hideMark/>
          </w:tcPr>
          <w:p w14:paraId="66E688F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Revisar si se hace necesaria la adquisición de otras soluciones de seguridad perimetral, como: IPS, IDS, firewall de aplicaciones, firewall de bases de datos, etc.</w:t>
            </w:r>
          </w:p>
        </w:tc>
        <w:tc>
          <w:tcPr>
            <w:tcW w:w="1843" w:type="dxa"/>
          </w:tcPr>
          <w:p w14:paraId="3520A3CD"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257EDF00" w14:textId="77777777" w:rsidTr="004A6248">
        <w:trPr>
          <w:trHeight w:val="20"/>
        </w:trPr>
        <w:tc>
          <w:tcPr>
            <w:tcW w:w="546" w:type="dxa"/>
            <w:shd w:val="clear" w:color="auto" w:fill="auto"/>
            <w:vAlign w:val="center"/>
            <w:hideMark/>
          </w:tcPr>
          <w:p w14:paraId="5B67EC90"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13.1.2</w:t>
            </w:r>
          </w:p>
        </w:tc>
        <w:tc>
          <w:tcPr>
            <w:tcW w:w="1156" w:type="dxa"/>
            <w:shd w:val="clear" w:color="auto" w:fill="auto"/>
            <w:vAlign w:val="center"/>
            <w:hideMark/>
          </w:tcPr>
          <w:p w14:paraId="3CEB41A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Seguridad de los servicios de red</w:t>
            </w:r>
          </w:p>
        </w:tc>
        <w:tc>
          <w:tcPr>
            <w:tcW w:w="2551" w:type="dxa"/>
            <w:shd w:val="clear" w:color="auto" w:fill="auto"/>
            <w:vAlign w:val="center"/>
            <w:hideMark/>
          </w:tcPr>
          <w:p w14:paraId="2843833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identificar los mecanismos de seguridad, los niveles de servicio y los requisitos de gestión de todos los servicios de red, e incluirlos en los acuerdos de servicio de red, ya sea que los servicios se presten internamente o se contraten externamente.</w:t>
            </w:r>
          </w:p>
        </w:tc>
        <w:tc>
          <w:tcPr>
            <w:tcW w:w="826" w:type="dxa"/>
            <w:shd w:val="clear" w:color="000000" w:fill="008000"/>
            <w:vAlign w:val="center"/>
            <w:hideMark/>
          </w:tcPr>
          <w:p w14:paraId="410E522A"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5D72E60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Se cuenta con firewall perimetral únicamente</w:t>
            </w:r>
            <w:r w:rsidRPr="00795864">
              <w:rPr>
                <w:rFonts w:asciiTheme="majorHAnsi" w:eastAsia="Times New Roman" w:hAnsiTheme="majorHAnsi" w:cstheme="majorHAnsi"/>
                <w:color w:val="000000"/>
                <w:sz w:val="16"/>
                <w:szCs w:val="16"/>
                <w:lang w:val="es-CO" w:eastAsia="es-CO"/>
              </w:rPr>
              <w:br/>
              <w:t>* La red se encuentra segmentada por: DMZ, usuarios y proveedores.</w:t>
            </w:r>
            <w:r w:rsidRPr="00795864">
              <w:rPr>
                <w:rFonts w:asciiTheme="majorHAnsi" w:eastAsia="Times New Roman" w:hAnsiTheme="majorHAnsi" w:cstheme="majorHAnsi"/>
                <w:color w:val="000000"/>
                <w:sz w:val="16"/>
                <w:szCs w:val="16"/>
                <w:lang w:val="es-CO" w:eastAsia="es-CO"/>
              </w:rPr>
              <w:br/>
              <w:t xml:space="preserve">* Se cuenta con redes WIFI con acceso según el perfil de los funcionarios. (Snake Red, Dirección General, Dirección COE, </w:t>
            </w:r>
            <w:proofErr w:type="spellStart"/>
            <w:r w:rsidRPr="00795864">
              <w:rPr>
                <w:rFonts w:asciiTheme="majorHAnsi" w:eastAsia="Times New Roman" w:hAnsiTheme="majorHAnsi" w:cstheme="majorHAnsi"/>
                <w:color w:val="000000"/>
                <w:sz w:val="16"/>
                <w:szCs w:val="16"/>
                <w:lang w:val="es-CO" w:eastAsia="es-CO"/>
              </w:rPr>
              <w:t>Outgrot</w:t>
            </w:r>
            <w:proofErr w:type="spellEnd"/>
            <w:r w:rsidRPr="00795864">
              <w:rPr>
                <w:rFonts w:asciiTheme="majorHAnsi" w:eastAsia="Times New Roman" w:hAnsiTheme="majorHAnsi" w:cstheme="majorHAnsi"/>
                <w:color w:val="000000"/>
                <w:sz w:val="16"/>
                <w:szCs w:val="16"/>
                <w:lang w:val="es-CO" w:eastAsia="es-CO"/>
              </w:rPr>
              <w:t>, Invitados, Internet wifi para la gente) la única red que no llega a la red de servidores es la red de internet para le gente.</w:t>
            </w:r>
            <w:r w:rsidRPr="00795864">
              <w:rPr>
                <w:rFonts w:asciiTheme="majorHAnsi" w:eastAsia="Times New Roman" w:hAnsiTheme="majorHAnsi" w:cstheme="majorHAnsi"/>
                <w:color w:val="000000"/>
                <w:sz w:val="16"/>
                <w:szCs w:val="16"/>
                <w:lang w:val="es-CO" w:eastAsia="es-CO"/>
              </w:rPr>
              <w:br/>
              <w:t>* Se tienen políticas de acceso a redes sociales en el horario de 12 a 2.</w:t>
            </w:r>
            <w:r w:rsidRPr="00795864">
              <w:rPr>
                <w:rFonts w:asciiTheme="majorHAnsi" w:eastAsia="Times New Roman" w:hAnsiTheme="majorHAnsi" w:cstheme="majorHAnsi"/>
                <w:color w:val="000000"/>
                <w:sz w:val="16"/>
                <w:szCs w:val="16"/>
                <w:lang w:val="es-CO" w:eastAsia="es-CO"/>
              </w:rPr>
              <w:br/>
              <w:t>* El acceso a YouTube se encuentra limitado por el tamaño del canal.</w:t>
            </w:r>
            <w:r w:rsidRPr="00795864">
              <w:rPr>
                <w:rFonts w:asciiTheme="majorHAnsi" w:eastAsia="Times New Roman" w:hAnsiTheme="majorHAnsi" w:cstheme="majorHAnsi"/>
                <w:color w:val="000000"/>
                <w:sz w:val="16"/>
                <w:szCs w:val="16"/>
                <w:lang w:val="es-CO" w:eastAsia="es-CO"/>
              </w:rPr>
              <w:br/>
              <w:t>* Se puede monitorear las paginas a las que acceden los funcionarios.</w:t>
            </w:r>
            <w:r w:rsidRPr="00795864">
              <w:rPr>
                <w:rFonts w:asciiTheme="majorHAnsi" w:eastAsia="Times New Roman" w:hAnsiTheme="majorHAnsi" w:cstheme="majorHAnsi"/>
                <w:color w:val="000000"/>
                <w:sz w:val="16"/>
                <w:szCs w:val="16"/>
                <w:lang w:val="es-CO" w:eastAsia="es-CO"/>
              </w:rPr>
              <w:br/>
              <w:t>* Se cuenta con bloqueos de correos masivos.</w:t>
            </w:r>
            <w:r w:rsidRPr="00795864">
              <w:rPr>
                <w:rFonts w:asciiTheme="majorHAnsi" w:eastAsia="Times New Roman" w:hAnsiTheme="majorHAnsi" w:cstheme="majorHAnsi"/>
                <w:color w:val="000000"/>
                <w:sz w:val="16"/>
                <w:szCs w:val="16"/>
                <w:lang w:val="es-CO" w:eastAsia="es-CO"/>
              </w:rPr>
              <w:br/>
              <w:t>* Se tienen FTP internos y externos (dirección de vigilancia)</w:t>
            </w:r>
            <w:r w:rsidRPr="00795864">
              <w:rPr>
                <w:rFonts w:asciiTheme="majorHAnsi" w:eastAsia="Times New Roman" w:hAnsiTheme="majorHAnsi" w:cstheme="majorHAnsi"/>
                <w:color w:val="000000"/>
                <w:sz w:val="16"/>
                <w:szCs w:val="16"/>
                <w:lang w:val="es-CO" w:eastAsia="es-CO"/>
              </w:rPr>
              <w:br/>
              <w:t>* Se cuenta con Sitios de colaboración en SharePoint (publicar eventos, informes de gestión)</w:t>
            </w:r>
            <w:r w:rsidRPr="00795864">
              <w:rPr>
                <w:rFonts w:asciiTheme="majorHAnsi" w:eastAsia="Times New Roman" w:hAnsiTheme="majorHAnsi" w:cstheme="majorHAnsi"/>
                <w:color w:val="000000"/>
                <w:sz w:val="16"/>
                <w:szCs w:val="16"/>
                <w:lang w:val="es-CO" w:eastAsia="es-CO"/>
              </w:rPr>
              <w:br/>
            </w:r>
            <w:r w:rsidRPr="00795864">
              <w:rPr>
                <w:rFonts w:asciiTheme="majorHAnsi" w:eastAsia="Times New Roman" w:hAnsiTheme="majorHAnsi" w:cstheme="majorHAnsi"/>
                <w:color w:val="000000"/>
                <w:sz w:val="16"/>
                <w:szCs w:val="16"/>
                <w:lang w:val="es-CO" w:eastAsia="es-CO"/>
              </w:rPr>
              <w:lastRenderedPageBreak/>
              <w:t>* Se tiene almacenamiento de SAN</w:t>
            </w:r>
            <w:r w:rsidRPr="00795864">
              <w:rPr>
                <w:rFonts w:asciiTheme="majorHAnsi" w:eastAsia="Times New Roman" w:hAnsiTheme="majorHAnsi" w:cstheme="majorHAnsi"/>
                <w:color w:val="000000"/>
                <w:sz w:val="16"/>
                <w:szCs w:val="16"/>
                <w:lang w:val="es-CO" w:eastAsia="es-CO"/>
              </w:rPr>
              <w:br/>
              <w:t xml:space="preserve">* Se cuenta con una solución para el monitoreo de la red </w:t>
            </w:r>
            <w:proofErr w:type="spellStart"/>
            <w:r w:rsidRPr="00795864">
              <w:rPr>
                <w:rFonts w:asciiTheme="majorHAnsi" w:eastAsia="Times New Roman" w:hAnsiTheme="majorHAnsi" w:cstheme="majorHAnsi"/>
                <w:color w:val="000000"/>
                <w:sz w:val="16"/>
                <w:szCs w:val="16"/>
                <w:lang w:val="es-CO" w:eastAsia="es-CO"/>
              </w:rPr>
              <w:t>Operation</w:t>
            </w:r>
            <w:proofErr w:type="spellEnd"/>
            <w:r w:rsidRPr="00795864">
              <w:rPr>
                <w:rFonts w:asciiTheme="majorHAnsi" w:eastAsia="Times New Roman" w:hAnsiTheme="majorHAnsi" w:cstheme="majorHAnsi"/>
                <w:color w:val="000000"/>
                <w:sz w:val="16"/>
                <w:szCs w:val="16"/>
                <w:lang w:val="es-CO" w:eastAsia="es-CO"/>
              </w:rPr>
              <w:t xml:space="preserve"> Manager.</w:t>
            </w:r>
            <w:r w:rsidRPr="00795864">
              <w:rPr>
                <w:rFonts w:asciiTheme="majorHAnsi" w:eastAsia="Times New Roman" w:hAnsiTheme="majorHAnsi" w:cstheme="majorHAnsi"/>
                <w:color w:val="000000"/>
                <w:sz w:val="16"/>
                <w:szCs w:val="16"/>
                <w:lang w:val="es-CO" w:eastAsia="es-CO"/>
              </w:rPr>
              <w:br/>
              <w:t>* No se tienen controles adicionales en la red interna.</w:t>
            </w:r>
            <w:r w:rsidRPr="00795864">
              <w:rPr>
                <w:rFonts w:asciiTheme="majorHAnsi" w:eastAsia="Times New Roman" w:hAnsiTheme="majorHAnsi" w:cstheme="majorHAnsi"/>
                <w:color w:val="000000"/>
                <w:sz w:val="16"/>
                <w:szCs w:val="16"/>
                <w:lang w:val="es-CO" w:eastAsia="es-CO"/>
              </w:rPr>
              <w:br/>
              <w:t>* No se tienen otras soluciones seguridad perimetral como IDS, IPS</w:t>
            </w:r>
            <w:r w:rsidRPr="00795864">
              <w:rPr>
                <w:rFonts w:asciiTheme="majorHAnsi" w:eastAsia="Times New Roman" w:hAnsiTheme="majorHAnsi" w:cstheme="majorHAnsi"/>
                <w:color w:val="000000"/>
                <w:sz w:val="16"/>
                <w:szCs w:val="16"/>
                <w:lang w:val="es-CO" w:eastAsia="es-CO"/>
              </w:rPr>
              <w:br/>
              <w:t>* No se tienen firewall de aplicaciones o de bases de datos</w:t>
            </w:r>
          </w:p>
        </w:tc>
        <w:tc>
          <w:tcPr>
            <w:tcW w:w="1275" w:type="dxa"/>
            <w:shd w:val="clear" w:color="000000" w:fill="E26B0A"/>
            <w:vAlign w:val="center"/>
            <w:hideMark/>
          </w:tcPr>
          <w:p w14:paraId="1BEF9368"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lastRenderedPageBreak/>
              <w:t>PARCIAL</w:t>
            </w:r>
          </w:p>
        </w:tc>
        <w:tc>
          <w:tcPr>
            <w:tcW w:w="1276" w:type="dxa"/>
            <w:shd w:val="clear" w:color="000000" w:fill="00B0F0"/>
            <w:vAlign w:val="center"/>
            <w:hideMark/>
          </w:tcPr>
          <w:p w14:paraId="50F6AFBB"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Definido</w:t>
            </w:r>
          </w:p>
        </w:tc>
        <w:tc>
          <w:tcPr>
            <w:tcW w:w="851" w:type="dxa"/>
            <w:shd w:val="clear" w:color="auto" w:fill="auto"/>
            <w:vAlign w:val="center"/>
            <w:hideMark/>
          </w:tcPr>
          <w:p w14:paraId="22C0868E"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60%</w:t>
            </w:r>
          </w:p>
        </w:tc>
        <w:tc>
          <w:tcPr>
            <w:tcW w:w="3827" w:type="dxa"/>
            <w:shd w:val="clear" w:color="auto" w:fill="auto"/>
            <w:vAlign w:val="center"/>
            <w:hideMark/>
          </w:tcPr>
          <w:p w14:paraId="4EF6C57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Revisar si se hace necesaria la adquisición de otras soluciones de seguridad perimetral, como: IPS, IDS, firewall de aplicaciones, firewall de bases de datos, etc.</w:t>
            </w:r>
          </w:p>
        </w:tc>
        <w:tc>
          <w:tcPr>
            <w:tcW w:w="1843" w:type="dxa"/>
          </w:tcPr>
          <w:p w14:paraId="6C020B78"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7FD02E54" w14:textId="77777777" w:rsidTr="004A6248">
        <w:trPr>
          <w:trHeight w:val="1310"/>
        </w:trPr>
        <w:tc>
          <w:tcPr>
            <w:tcW w:w="546" w:type="dxa"/>
            <w:shd w:val="clear" w:color="auto" w:fill="auto"/>
            <w:vAlign w:val="center"/>
            <w:hideMark/>
          </w:tcPr>
          <w:p w14:paraId="0F3DC5C4"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13.1.3</w:t>
            </w:r>
          </w:p>
        </w:tc>
        <w:tc>
          <w:tcPr>
            <w:tcW w:w="1156" w:type="dxa"/>
            <w:shd w:val="clear" w:color="auto" w:fill="auto"/>
            <w:vAlign w:val="center"/>
            <w:hideMark/>
          </w:tcPr>
          <w:p w14:paraId="4FD89D9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Separación en las redes</w:t>
            </w:r>
          </w:p>
        </w:tc>
        <w:tc>
          <w:tcPr>
            <w:tcW w:w="2551" w:type="dxa"/>
            <w:shd w:val="clear" w:color="auto" w:fill="auto"/>
            <w:vAlign w:val="center"/>
            <w:hideMark/>
          </w:tcPr>
          <w:p w14:paraId="4423465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grupos de servicios de información, usuarios y sistemas de información se deben separar en las redes.</w:t>
            </w:r>
          </w:p>
        </w:tc>
        <w:tc>
          <w:tcPr>
            <w:tcW w:w="826" w:type="dxa"/>
            <w:shd w:val="clear" w:color="000000" w:fill="008000"/>
            <w:vAlign w:val="center"/>
            <w:hideMark/>
          </w:tcPr>
          <w:p w14:paraId="184F055A"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2A8CFD93"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La red se encuentra segmentada por: VLAN para bróker, telefonía, wifi, bloque A, bloque B, </w:t>
            </w:r>
            <w:proofErr w:type="spellStart"/>
            <w:r w:rsidRPr="00795864">
              <w:rPr>
                <w:rFonts w:asciiTheme="majorHAnsi" w:eastAsia="Times New Roman" w:hAnsiTheme="majorHAnsi" w:cstheme="majorHAnsi"/>
                <w:color w:val="000000"/>
                <w:sz w:val="16"/>
                <w:szCs w:val="16"/>
                <w:lang w:val="es-CO" w:eastAsia="es-CO"/>
              </w:rPr>
              <w:t>DataCenter</w:t>
            </w:r>
            <w:proofErr w:type="spellEnd"/>
            <w:r w:rsidRPr="00795864">
              <w:rPr>
                <w:rFonts w:asciiTheme="majorHAnsi" w:eastAsia="Times New Roman" w:hAnsiTheme="majorHAnsi" w:cstheme="majorHAnsi"/>
                <w:color w:val="000000"/>
                <w:sz w:val="16"/>
                <w:szCs w:val="16"/>
                <w:lang w:val="es-CO" w:eastAsia="es-CO"/>
              </w:rPr>
              <w:t>, pero no se tiene controles entre dichas redes</w:t>
            </w:r>
          </w:p>
        </w:tc>
        <w:tc>
          <w:tcPr>
            <w:tcW w:w="1275" w:type="dxa"/>
            <w:shd w:val="clear" w:color="000000" w:fill="92D050"/>
            <w:vAlign w:val="center"/>
            <w:hideMark/>
          </w:tcPr>
          <w:p w14:paraId="7DE8CCDC"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SI</w:t>
            </w:r>
          </w:p>
        </w:tc>
        <w:tc>
          <w:tcPr>
            <w:tcW w:w="1276" w:type="dxa"/>
            <w:shd w:val="clear" w:color="000000" w:fill="0070C0"/>
            <w:vAlign w:val="center"/>
            <w:hideMark/>
          </w:tcPr>
          <w:p w14:paraId="670819AB"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3CCD97CD"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364575C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implementar controles entre los segmentos de red, para asegurar que solo se permiten los accesos autorizados</w:t>
            </w:r>
          </w:p>
        </w:tc>
        <w:tc>
          <w:tcPr>
            <w:tcW w:w="1843" w:type="dxa"/>
          </w:tcPr>
          <w:p w14:paraId="21C4391F"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1FAE9A77" w14:textId="77777777" w:rsidTr="004A6248">
        <w:trPr>
          <w:trHeight w:val="20"/>
        </w:trPr>
        <w:tc>
          <w:tcPr>
            <w:tcW w:w="546" w:type="dxa"/>
            <w:shd w:val="clear" w:color="000000" w:fill="538DD5"/>
            <w:vAlign w:val="center"/>
            <w:hideMark/>
          </w:tcPr>
          <w:p w14:paraId="708E4513"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13.2</w:t>
            </w:r>
          </w:p>
        </w:tc>
        <w:tc>
          <w:tcPr>
            <w:tcW w:w="10653" w:type="dxa"/>
            <w:gridSpan w:val="6"/>
            <w:shd w:val="clear" w:color="000000" w:fill="538DD5"/>
            <w:vAlign w:val="center"/>
            <w:hideMark/>
          </w:tcPr>
          <w:p w14:paraId="1CFCCDC9"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Transferencia de información</w:t>
            </w:r>
          </w:p>
        </w:tc>
        <w:tc>
          <w:tcPr>
            <w:tcW w:w="851" w:type="dxa"/>
            <w:shd w:val="clear" w:color="000000" w:fill="538DD5"/>
            <w:vAlign w:val="center"/>
            <w:hideMark/>
          </w:tcPr>
          <w:p w14:paraId="296F5071"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85%</w:t>
            </w:r>
          </w:p>
        </w:tc>
        <w:tc>
          <w:tcPr>
            <w:tcW w:w="3827" w:type="dxa"/>
            <w:shd w:val="clear" w:color="000000" w:fill="538DD5"/>
            <w:vAlign w:val="center"/>
            <w:hideMark/>
          </w:tcPr>
          <w:p w14:paraId="2E6DD046"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45DBE35F"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61A95110" w14:textId="77777777" w:rsidTr="004A6248">
        <w:trPr>
          <w:trHeight w:val="20"/>
        </w:trPr>
        <w:tc>
          <w:tcPr>
            <w:tcW w:w="546" w:type="dxa"/>
            <w:shd w:val="clear" w:color="000000" w:fill="538DD5"/>
            <w:vAlign w:val="center"/>
            <w:hideMark/>
          </w:tcPr>
          <w:p w14:paraId="086890BD"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2E855D68"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Mantener la seguridad de la información transferida dentro de una organización y con cualquier entidad externa.</w:t>
            </w:r>
          </w:p>
        </w:tc>
        <w:tc>
          <w:tcPr>
            <w:tcW w:w="851" w:type="dxa"/>
            <w:shd w:val="clear" w:color="000000" w:fill="538DD5"/>
            <w:vAlign w:val="center"/>
            <w:hideMark/>
          </w:tcPr>
          <w:p w14:paraId="4D5D21D7"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3827" w:type="dxa"/>
            <w:shd w:val="clear" w:color="000000" w:fill="538DD5"/>
            <w:vAlign w:val="center"/>
            <w:hideMark/>
          </w:tcPr>
          <w:p w14:paraId="08E824C1"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843" w:type="dxa"/>
            <w:shd w:val="clear" w:color="000000" w:fill="538DD5"/>
          </w:tcPr>
          <w:p w14:paraId="4CD6A5F4" w14:textId="77777777" w:rsidR="004A6248" w:rsidRPr="00795864" w:rsidRDefault="004A6248" w:rsidP="000F099B">
            <w:pPr>
              <w:rPr>
                <w:rFonts w:asciiTheme="majorHAnsi" w:eastAsia="Times New Roman" w:hAnsiTheme="majorHAnsi" w:cstheme="majorHAnsi"/>
                <w:color w:val="FFFFFF"/>
                <w:sz w:val="16"/>
                <w:szCs w:val="16"/>
                <w:lang w:val="es-CO" w:eastAsia="es-CO"/>
              </w:rPr>
            </w:pPr>
          </w:p>
        </w:tc>
      </w:tr>
      <w:tr w:rsidR="004A6248" w:rsidRPr="00795864" w14:paraId="4A3F9607" w14:textId="77777777" w:rsidTr="004A6248">
        <w:trPr>
          <w:trHeight w:val="20"/>
        </w:trPr>
        <w:tc>
          <w:tcPr>
            <w:tcW w:w="546" w:type="dxa"/>
            <w:shd w:val="clear" w:color="auto" w:fill="auto"/>
            <w:vAlign w:val="center"/>
            <w:hideMark/>
          </w:tcPr>
          <w:p w14:paraId="3797C155"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13.2.1</w:t>
            </w:r>
          </w:p>
        </w:tc>
        <w:tc>
          <w:tcPr>
            <w:tcW w:w="1156" w:type="dxa"/>
            <w:shd w:val="clear" w:color="auto" w:fill="auto"/>
            <w:vAlign w:val="center"/>
            <w:hideMark/>
          </w:tcPr>
          <w:p w14:paraId="53E0B0A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Políticas y procedimientos de transferencia de información</w:t>
            </w:r>
          </w:p>
        </w:tc>
        <w:tc>
          <w:tcPr>
            <w:tcW w:w="2551" w:type="dxa"/>
            <w:shd w:val="clear" w:color="auto" w:fill="auto"/>
            <w:vAlign w:val="center"/>
            <w:hideMark/>
          </w:tcPr>
          <w:p w14:paraId="6DE590D1"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 contar con políticas, procedimientos y controles de transferencia formales para proteger la transferencia de información mediante el uso de todo tipo de instalaciones de comunicaciones.</w:t>
            </w:r>
          </w:p>
        </w:tc>
        <w:tc>
          <w:tcPr>
            <w:tcW w:w="826" w:type="dxa"/>
            <w:shd w:val="clear" w:color="000000" w:fill="008000"/>
            <w:vAlign w:val="center"/>
            <w:hideMark/>
          </w:tcPr>
          <w:p w14:paraId="1AF18AD4"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3F67A5E1"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En el comité propiedad intelectual se tratan temas de intercambio de información entre convenios.</w:t>
            </w:r>
            <w:r w:rsidRPr="00795864">
              <w:rPr>
                <w:rFonts w:asciiTheme="majorHAnsi" w:eastAsia="Times New Roman" w:hAnsiTheme="majorHAnsi" w:cstheme="majorHAnsi"/>
                <w:color w:val="000000"/>
                <w:sz w:val="16"/>
                <w:szCs w:val="16"/>
                <w:lang w:val="es-CO" w:eastAsia="es-CO"/>
              </w:rPr>
              <w:br/>
              <w:t>* No existen políticas, ni procedimientos de transferencia de información segura.</w:t>
            </w:r>
          </w:p>
        </w:tc>
        <w:tc>
          <w:tcPr>
            <w:tcW w:w="1275" w:type="dxa"/>
            <w:shd w:val="clear" w:color="000000" w:fill="E26B0A"/>
            <w:vAlign w:val="center"/>
            <w:hideMark/>
          </w:tcPr>
          <w:p w14:paraId="065391CB"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70C0"/>
            <w:vAlign w:val="center"/>
            <w:hideMark/>
          </w:tcPr>
          <w:p w14:paraId="4F0CBF2F"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370F4EE2"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615201A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Definir políticas y procedimientos para la transferencia de información</w:t>
            </w:r>
          </w:p>
        </w:tc>
        <w:tc>
          <w:tcPr>
            <w:tcW w:w="1843" w:type="dxa"/>
          </w:tcPr>
          <w:p w14:paraId="22163D6F"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189EC29D" w14:textId="77777777" w:rsidTr="004A6248">
        <w:trPr>
          <w:trHeight w:val="20"/>
        </w:trPr>
        <w:tc>
          <w:tcPr>
            <w:tcW w:w="546" w:type="dxa"/>
            <w:shd w:val="clear" w:color="auto" w:fill="auto"/>
            <w:vAlign w:val="center"/>
            <w:hideMark/>
          </w:tcPr>
          <w:p w14:paraId="046B680F"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13.2.2</w:t>
            </w:r>
          </w:p>
        </w:tc>
        <w:tc>
          <w:tcPr>
            <w:tcW w:w="1156" w:type="dxa"/>
            <w:shd w:val="clear" w:color="auto" w:fill="auto"/>
            <w:vAlign w:val="center"/>
            <w:hideMark/>
          </w:tcPr>
          <w:p w14:paraId="2783AEF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Acuerdos sobre transferencia de información</w:t>
            </w:r>
          </w:p>
        </w:tc>
        <w:tc>
          <w:tcPr>
            <w:tcW w:w="2551" w:type="dxa"/>
            <w:shd w:val="clear" w:color="auto" w:fill="auto"/>
            <w:vAlign w:val="center"/>
            <w:hideMark/>
          </w:tcPr>
          <w:p w14:paraId="01DAFC7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acuerdos deben tratar la transferencia segura de información del negocio entre la organización y las partes externas.</w:t>
            </w:r>
          </w:p>
        </w:tc>
        <w:tc>
          <w:tcPr>
            <w:tcW w:w="826" w:type="dxa"/>
            <w:shd w:val="clear" w:color="000000" w:fill="008000"/>
            <w:vAlign w:val="center"/>
            <w:hideMark/>
          </w:tcPr>
          <w:p w14:paraId="49141B73"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236DE9C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En el comité de propiedad intelectual se definen cláusulas de transferencia de información para algunos convenios específicos.</w:t>
            </w:r>
            <w:r w:rsidRPr="00795864">
              <w:rPr>
                <w:rFonts w:asciiTheme="majorHAnsi" w:eastAsia="Times New Roman" w:hAnsiTheme="majorHAnsi" w:cstheme="majorHAnsi"/>
                <w:color w:val="000000"/>
                <w:sz w:val="16"/>
                <w:szCs w:val="16"/>
                <w:lang w:val="es-CO" w:eastAsia="es-CO"/>
              </w:rPr>
              <w:br/>
              <w:t>* La información de convenios se transfiere mediante el protocolo FTP. Algunos entes que acceden a dicha información son el DANE, MINSALUD, Superintendencia de servicios públicos domiciliarios.</w:t>
            </w:r>
          </w:p>
        </w:tc>
        <w:tc>
          <w:tcPr>
            <w:tcW w:w="1275" w:type="dxa"/>
            <w:shd w:val="clear" w:color="000000" w:fill="E26B0A"/>
            <w:vAlign w:val="center"/>
            <w:hideMark/>
          </w:tcPr>
          <w:p w14:paraId="4AAEC126"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70C0"/>
            <w:vAlign w:val="center"/>
            <w:hideMark/>
          </w:tcPr>
          <w:p w14:paraId="2D34B5AF"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5A2ABD1C"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34A5C06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Definir acuerdos para la transferencia de información con proveedores.</w:t>
            </w:r>
          </w:p>
        </w:tc>
        <w:tc>
          <w:tcPr>
            <w:tcW w:w="1843" w:type="dxa"/>
          </w:tcPr>
          <w:p w14:paraId="55D2F21A"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51B10323" w14:textId="77777777" w:rsidTr="004A6248">
        <w:trPr>
          <w:trHeight w:val="20"/>
        </w:trPr>
        <w:tc>
          <w:tcPr>
            <w:tcW w:w="546" w:type="dxa"/>
            <w:shd w:val="clear" w:color="auto" w:fill="auto"/>
            <w:vAlign w:val="center"/>
            <w:hideMark/>
          </w:tcPr>
          <w:p w14:paraId="1D9CBB7B"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13.2.3</w:t>
            </w:r>
          </w:p>
        </w:tc>
        <w:tc>
          <w:tcPr>
            <w:tcW w:w="1156" w:type="dxa"/>
            <w:shd w:val="clear" w:color="auto" w:fill="auto"/>
            <w:vAlign w:val="center"/>
            <w:hideMark/>
          </w:tcPr>
          <w:p w14:paraId="20D12B3D"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Mensajes electrónicos</w:t>
            </w:r>
          </w:p>
        </w:tc>
        <w:tc>
          <w:tcPr>
            <w:tcW w:w="2551" w:type="dxa"/>
            <w:shd w:val="clear" w:color="auto" w:fill="auto"/>
            <w:vAlign w:val="center"/>
            <w:hideMark/>
          </w:tcPr>
          <w:p w14:paraId="1374769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 proteger apropiadamente la información incluida en los mensajes electrónicos.</w:t>
            </w:r>
          </w:p>
        </w:tc>
        <w:tc>
          <w:tcPr>
            <w:tcW w:w="826" w:type="dxa"/>
            <w:shd w:val="clear" w:color="000000" w:fill="008000"/>
            <w:vAlign w:val="center"/>
            <w:hideMark/>
          </w:tcPr>
          <w:p w14:paraId="75F53D03"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5C329FF6"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El servicio de correo electrónico se tiene implementado sobre Exchange 2013.</w:t>
            </w:r>
            <w:r w:rsidRPr="00795864">
              <w:rPr>
                <w:rFonts w:asciiTheme="majorHAnsi" w:eastAsia="Times New Roman" w:hAnsiTheme="majorHAnsi" w:cstheme="majorHAnsi"/>
                <w:color w:val="000000"/>
                <w:sz w:val="16"/>
                <w:szCs w:val="16"/>
                <w:lang w:val="es-CO" w:eastAsia="es-CO"/>
              </w:rPr>
              <w:br/>
              <w:t>* Se tienen adicionalmente 200 buzones con office 365.</w:t>
            </w:r>
            <w:r w:rsidRPr="00795864">
              <w:rPr>
                <w:rFonts w:asciiTheme="majorHAnsi" w:eastAsia="Times New Roman" w:hAnsiTheme="majorHAnsi" w:cstheme="majorHAnsi"/>
                <w:color w:val="000000"/>
                <w:sz w:val="16"/>
                <w:szCs w:val="16"/>
                <w:lang w:val="es-CO" w:eastAsia="es-CO"/>
              </w:rPr>
              <w:br/>
              <w:t>* Se cuenta con una solución de antispam SOPHOS</w:t>
            </w:r>
            <w:r w:rsidRPr="00795864">
              <w:rPr>
                <w:rFonts w:asciiTheme="majorHAnsi" w:eastAsia="Times New Roman" w:hAnsiTheme="majorHAnsi" w:cstheme="majorHAnsi"/>
                <w:color w:val="000000"/>
                <w:sz w:val="16"/>
                <w:szCs w:val="16"/>
                <w:lang w:val="es-CO" w:eastAsia="es-CO"/>
              </w:rPr>
              <w:br/>
              <w:t>* Sobre el Exchange no existen controles que garanticen la confidencialidad de los correos electrónicos enviados.</w:t>
            </w:r>
            <w:r w:rsidRPr="00795864">
              <w:rPr>
                <w:rFonts w:asciiTheme="majorHAnsi" w:eastAsia="Times New Roman" w:hAnsiTheme="majorHAnsi" w:cstheme="majorHAnsi"/>
                <w:color w:val="000000"/>
                <w:sz w:val="16"/>
                <w:szCs w:val="16"/>
                <w:lang w:val="es-CO" w:eastAsia="es-CO"/>
              </w:rPr>
              <w:br/>
              <w:t>* Se cuenta con bloqueos de envíos masivos.</w:t>
            </w:r>
          </w:p>
        </w:tc>
        <w:tc>
          <w:tcPr>
            <w:tcW w:w="1275" w:type="dxa"/>
            <w:shd w:val="clear" w:color="000000" w:fill="E26B0A"/>
            <w:vAlign w:val="center"/>
            <w:hideMark/>
          </w:tcPr>
          <w:p w14:paraId="1D2F9495"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70C0"/>
            <w:vAlign w:val="center"/>
            <w:hideMark/>
          </w:tcPr>
          <w:p w14:paraId="4563E767"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24B13B01"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3E314E0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Definir políticas para el uso adecuado del servicio de correo electrónico.</w:t>
            </w:r>
          </w:p>
        </w:tc>
        <w:tc>
          <w:tcPr>
            <w:tcW w:w="1843" w:type="dxa"/>
          </w:tcPr>
          <w:p w14:paraId="048A88DC"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4A68A53F" w14:textId="77777777" w:rsidTr="004A6248">
        <w:trPr>
          <w:trHeight w:val="1492"/>
        </w:trPr>
        <w:tc>
          <w:tcPr>
            <w:tcW w:w="546" w:type="dxa"/>
            <w:shd w:val="clear" w:color="auto" w:fill="auto"/>
            <w:vAlign w:val="center"/>
            <w:hideMark/>
          </w:tcPr>
          <w:p w14:paraId="0ED23DCB"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lastRenderedPageBreak/>
              <w:t>13.2.4</w:t>
            </w:r>
          </w:p>
        </w:tc>
        <w:tc>
          <w:tcPr>
            <w:tcW w:w="1156" w:type="dxa"/>
            <w:shd w:val="clear" w:color="auto" w:fill="auto"/>
            <w:vAlign w:val="center"/>
            <w:hideMark/>
          </w:tcPr>
          <w:p w14:paraId="329953B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Acuerdos de confidencialidad o de no divulgación</w:t>
            </w:r>
          </w:p>
        </w:tc>
        <w:tc>
          <w:tcPr>
            <w:tcW w:w="2551" w:type="dxa"/>
            <w:shd w:val="clear" w:color="auto" w:fill="auto"/>
            <w:vAlign w:val="center"/>
            <w:hideMark/>
          </w:tcPr>
          <w:p w14:paraId="3F2C509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identificar, revisar regularmente y documentar los requisitos para los acuerdos de confidencialidad o no divulgación que reflejen las necesidades de la organización para la protección de la información.</w:t>
            </w:r>
          </w:p>
        </w:tc>
        <w:tc>
          <w:tcPr>
            <w:tcW w:w="826" w:type="dxa"/>
            <w:shd w:val="clear" w:color="000000" w:fill="008000"/>
            <w:vAlign w:val="center"/>
            <w:hideMark/>
          </w:tcPr>
          <w:p w14:paraId="221C9FE7"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3F2F1BBD"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Se tienen acuerdos de confidencialidad con funcionarios y contratistas.</w:t>
            </w:r>
            <w:r w:rsidRPr="00795864">
              <w:rPr>
                <w:rFonts w:asciiTheme="majorHAnsi" w:eastAsia="Times New Roman" w:hAnsiTheme="majorHAnsi" w:cstheme="majorHAnsi"/>
                <w:color w:val="000000"/>
                <w:sz w:val="16"/>
                <w:szCs w:val="16"/>
                <w:lang w:val="es-CO" w:eastAsia="es-CO"/>
              </w:rPr>
              <w:br/>
              <w:t>* Adicionalmente en el comité de propiedad intelectual se definen acuerdos, procedimientos, y aprobaciones en materia de propiedad intelectual.</w:t>
            </w:r>
          </w:p>
        </w:tc>
        <w:tc>
          <w:tcPr>
            <w:tcW w:w="1275" w:type="dxa"/>
            <w:shd w:val="clear" w:color="000000" w:fill="92D050"/>
            <w:vAlign w:val="center"/>
            <w:hideMark/>
          </w:tcPr>
          <w:p w14:paraId="0D47EBB1"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SI</w:t>
            </w:r>
          </w:p>
        </w:tc>
        <w:tc>
          <w:tcPr>
            <w:tcW w:w="1276" w:type="dxa"/>
            <w:shd w:val="clear" w:color="000000" w:fill="00B050"/>
            <w:vAlign w:val="center"/>
            <w:hideMark/>
          </w:tcPr>
          <w:p w14:paraId="1B29AA76"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Optimizado</w:t>
            </w:r>
          </w:p>
        </w:tc>
        <w:tc>
          <w:tcPr>
            <w:tcW w:w="851" w:type="dxa"/>
            <w:shd w:val="clear" w:color="auto" w:fill="auto"/>
            <w:vAlign w:val="center"/>
            <w:hideMark/>
          </w:tcPr>
          <w:p w14:paraId="287D3D72"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100%</w:t>
            </w:r>
          </w:p>
        </w:tc>
        <w:tc>
          <w:tcPr>
            <w:tcW w:w="3827" w:type="dxa"/>
            <w:shd w:val="clear" w:color="auto" w:fill="auto"/>
            <w:vAlign w:val="center"/>
            <w:hideMark/>
          </w:tcPr>
          <w:p w14:paraId="67AB0A5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Revisar la pertinencia de las cláusulas de confidencialidad en cargos críticos del INS y ajustarlas</w:t>
            </w:r>
          </w:p>
        </w:tc>
        <w:tc>
          <w:tcPr>
            <w:tcW w:w="1843" w:type="dxa"/>
          </w:tcPr>
          <w:p w14:paraId="27B79F57"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1735E6E9" w14:textId="77777777" w:rsidTr="004A6248">
        <w:trPr>
          <w:trHeight w:val="20"/>
        </w:trPr>
        <w:tc>
          <w:tcPr>
            <w:tcW w:w="546" w:type="dxa"/>
            <w:shd w:val="clear" w:color="000000" w:fill="1F497D"/>
            <w:vAlign w:val="center"/>
            <w:hideMark/>
          </w:tcPr>
          <w:p w14:paraId="2B983728"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14</w:t>
            </w:r>
          </w:p>
        </w:tc>
        <w:tc>
          <w:tcPr>
            <w:tcW w:w="10653" w:type="dxa"/>
            <w:gridSpan w:val="6"/>
            <w:shd w:val="clear" w:color="000000" w:fill="1F497D"/>
            <w:vAlign w:val="center"/>
            <w:hideMark/>
          </w:tcPr>
          <w:p w14:paraId="0988C822"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ADQUISICIÓN, DESARROLLO Y MANTENIEMIENTO DE SISTEMAS</w:t>
            </w:r>
          </w:p>
        </w:tc>
        <w:tc>
          <w:tcPr>
            <w:tcW w:w="851" w:type="dxa"/>
            <w:shd w:val="clear" w:color="000000" w:fill="1F497D"/>
            <w:vAlign w:val="center"/>
            <w:hideMark/>
          </w:tcPr>
          <w:p w14:paraId="5F728895"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0%</w:t>
            </w:r>
          </w:p>
        </w:tc>
        <w:tc>
          <w:tcPr>
            <w:tcW w:w="3827" w:type="dxa"/>
            <w:shd w:val="clear" w:color="000000" w:fill="1F497D"/>
            <w:vAlign w:val="center"/>
            <w:hideMark/>
          </w:tcPr>
          <w:p w14:paraId="47EE99DD"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1F497D"/>
          </w:tcPr>
          <w:p w14:paraId="2791960B"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17B702E2" w14:textId="77777777" w:rsidTr="004A6248">
        <w:trPr>
          <w:trHeight w:val="20"/>
        </w:trPr>
        <w:tc>
          <w:tcPr>
            <w:tcW w:w="546" w:type="dxa"/>
            <w:shd w:val="clear" w:color="000000" w:fill="538DD5"/>
            <w:vAlign w:val="center"/>
            <w:hideMark/>
          </w:tcPr>
          <w:p w14:paraId="09E833FE"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14.1</w:t>
            </w:r>
          </w:p>
        </w:tc>
        <w:tc>
          <w:tcPr>
            <w:tcW w:w="10653" w:type="dxa"/>
            <w:gridSpan w:val="6"/>
            <w:shd w:val="clear" w:color="000000" w:fill="538DD5"/>
            <w:vAlign w:val="center"/>
            <w:hideMark/>
          </w:tcPr>
          <w:p w14:paraId="2C1F455B"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Requisitos de seguridad de los sistemas de información</w:t>
            </w:r>
          </w:p>
        </w:tc>
        <w:tc>
          <w:tcPr>
            <w:tcW w:w="851" w:type="dxa"/>
            <w:shd w:val="clear" w:color="000000" w:fill="538DD5"/>
            <w:vAlign w:val="center"/>
            <w:hideMark/>
          </w:tcPr>
          <w:p w14:paraId="46B482BC"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0%</w:t>
            </w:r>
          </w:p>
        </w:tc>
        <w:tc>
          <w:tcPr>
            <w:tcW w:w="3827" w:type="dxa"/>
            <w:shd w:val="clear" w:color="000000" w:fill="538DD5"/>
            <w:vAlign w:val="center"/>
            <w:hideMark/>
          </w:tcPr>
          <w:p w14:paraId="16083580"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53F922C0"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44FC2B4B" w14:textId="77777777" w:rsidTr="004A6248">
        <w:trPr>
          <w:trHeight w:val="20"/>
        </w:trPr>
        <w:tc>
          <w:tcPr>
            <w:tcW w:w="546" w:type="dxa"/>
            <w:shd w:val="clear" w:color="000000" w:fill="538DD5"/>
            <w:vAlign w:val="center"/>
            <w:hideMark/>
          </w:tcPr>
          <w:p w14:paraId="62F6577D"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1F8749E1"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Garantizar que la seguridad de la información sea una parte integral de los sistemas de información durante todo el ciclo de vida. Esto incluye también los requisitos para sistemas de información que prestan servicios sobre redes públicas.</w:t>
            </w:r>
          </w:p>
        </w:tc>
        <w:tc>
          <w:tcPr>
            <w:tcW w:w="851" w:type="dxa"/>
            <w:shd w:val="clear" w:color="000000" w:fill="538DD5"/>
            <w:vAlign w:val="center"/>
            <w:hideMark/>
          </w:tcPr>
          <w:p w14:paraId="2429ECB2"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3827" w:type="dxa"/>
            <w:shd w:val="clear" w:color="000000" w:fill="538DD5"/>
            <w:vAlign w:val="center"/>
            <w:hideMark/>
          </w:tcPr>
          <w:p w14:paraId="776A25BA"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843" w:type="dxa"/>
            <w:shd w:val="clear" w:color="000000" w:fill="538DD5"/>
          </w:tcPr>
          <w:p w14:paraId="3E365232" w14:textId="77777777" w:rsidR="004A6248" w:rsidRPr="00795864" w:rsidRDefault="004A6248" w:rsidP="000F099B">
            <w:pPr>
              <w:rPr>
                <w:rFonts w:asciiTheme="majorHAnsi" w:eastAsia="Times New Roman" w:hAnsiTheme="majorHAnsi" w:cstheme="majorHAnsi"/>
                <w:color w:val="FFFFFF"/>
                <w:sz w:val="16"/>
                <w:szCs w:val="16"/>
                <w:lang w:val="es-CO" w:eastAsia="es-CO"/>
              </w:rPr>
            </w:pPr>
          </w:p>
        </w:tc>
      </w:tr>
      <w:tr w:rsidR="004A6248" w:rsidRPr="00795864" w14:paraId="36C31014" w14:textId="77777777" w:rsidTr="004A6248">
        <w:trPr>
          <w:trHeight w:val="20"/>
        </w:trPr>
        <w:tc>
          <w:tcPr>
            <w:tcW w:w="546" w:type="dxa"/>
            <w:shd w:val="clear" w:color="auto" w:fill="auto"/>
            <w:vAlign w:val="center"/>
            <w:hideMark/>
          </w:tcPr>
          <w:p w14:paraId="1915C200"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14.1.1</w:t>
            </w:r>
          </w:p>
        </w:tc>
        <w:tc>
          <w:tcPr>
            <w:tcW w:w="1156" w:type="dxa"/>
            <w:shd w:val="clear" w:color="auto" w:fill="auto"/>
            <w:vAlign w:val="center"/>
            <w:hideMark/>
          </w:tcPr>
          <w:p w14:paraId="72C0471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Análisis y especificación de los requisitos de seguridad de la información</w:t>
            </w:r>
          </w:p>
        </w:tc>
        <w:tc>
          <w:tcPr>
            <w:tcW w:w="2551" w:type="dxa"/>
            <w:shd w:val="clear" w:color="auto" w:fill="auto"/>
            <w:vAlign w:val="center"/>
            <w:hideMark/>
          </w:tcPr>
          <w:p w14:paraId="557486C3"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requisitos relacionados con seguridad de la información se deben incluir en los requisitos para nuevos sistemas de información o para mejoras a los sistemas de información existentes.</w:t>
            </w:r>
          </w:p>
        </w:tc>
        <w:tc>
          <w:tcPr>
            <w:tcW w:w="826" w:type="dxa"/>
            <w:shd w:val="clear" w:color="000000" w:fill="008000"/>
            <w:vAlign w:val="center"/>
            <w:hideMark/>
          </w:tcPr>
          <w:p w14:paraId="7262CA44" w14:textId="77777777" w:rsidR="004A6248" w:rsidRPr="00E512A8" w:rsidRDefault="004A6248" w:rsidP="000F099B">
            <w:pPr>
              <w:jc w:val="center"/>
              <w:rPr>
                <w:rFonts w:asciiTheme="majorHAnsi" w:eastAsia="Times New Roman" w:hAnsiTheme="majorHAnsi" w:cstheme="majorHAnsi"/>
                <w:b/>
                <w:bCs/>
                <w:color w:val="FFFFFF"/>
                <w:sz w:val="16"/>
                <w:szCs w:val="16"/>
                <w:lang w:val="es-CO" w:eastAsia="es-CO"/>
              </w:rPr>
            </w:pPr>
            <w:r w:rsidRPr="00E512A8">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52F69454" w14:textId="77777777" w:rsidR="004A624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eastAsia="Times New Roman" w:hAnsiTheme="majorHAnsi" w:cstheme="majorHAnsi"/>
                <w:color w:val="000000"/>
                <w:sz w:val="16"/>
                <w:szCs w:val="16"/>
                <w:lang w:val="es-CO" w:eastAsia="es-CO"/>
              </w:rPr>
              <w:t>* Se incluye un módulo de administración de usuarios y perfiles, autenticación, auditoría.</w:t>
            </w:r>
          </w:p>
          <w:p w14:paraId="58A53DA5" w14:textId="77777777" w:rsidR="004A624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eastAsia="Times New Roman" w:hAnsiTheme="majorHAnsi" w:cstheme="majorHAnsi"/>
                <w:color w:val="000000"/>
                <w:sz w:val="16"/>
                <w:szCs w:val="16"/>
                <w:lang w:val="es-CO" w:eastAsia="es-CO"/>
              </w:rPr>
              <w:t xml:space="preserve"> * Se cifran las contraseñas.</w:t>
            </w:r>
          </w:p>
          <w:p w14:paraId="563AC8B1" w14:textId="77777777" w:rsidR="004A6248" w:rsidRPr="00E512A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eastAsia="Times New Roman" w:hAnsiTheme="majorHAnsi" w:cstheme="majorHAnsi"/>
                <w:color w:val="000000"/>
                <w:sz w:val="16"/>
                <w:szCs w:val="16"/>
                <w:lang w:val="es-CO" w:eastAsia="es-CO"/>
              </w:rPr>
              <w:t xml:space="preserve">* No se incluye modelamiento de amenazas, casos de abuso, revisión de código para desarrollos externos, análisis de riesgos. </w:t>
            </w:r>
          </w:p>
        </w:tc>
        <w:tc>
          <w:tcPr>
            <w:tcW w:w="1275" w:type="dxa"/>
            <w:shd w:val="clear" w:color="000000" w:fill="E26B0A"/>
            <w:vAlign w:val="center"/>
            <w:hideMark/>
          </w:tcPr>
          <w:p w14:paraId="283221C4" w14:textId="77777777" w:rsidR="004A6248" w:rsidRPr="00E512A8" w:rsidRDefault="004A6248" w:rsidP="000F099B">
            <w:pPr>
              <w:jc w:val="center"/>
              <w:rPr>
                <w:rFonts w:asciiTheme="majorHAnsi" w:eastAsia="Times New Roman" w:hAnsiTheme="majorHAnsi" w:cstheme="majorHAnsi"/>
                <w:b/>
                <w:bCs/>
                <w:sz w:val="16"/>
                <w:szCs w:val="16"/>
                <w:lang w:val="es-CO" w:eastAsia="es-CO"/>
              </w:rPr>
            </w:pPr>
            <w:r w:rsidRPr="00E512A8">
              <w:rPr>
                <w:rFonts w:asciiTheme="majorHAnsi" w:hAnsiTheme="majorHAnsi" w:cstheme="majorHAnsi"/>
                <w:b/>
                <w:bCs/>
                <w:sz w:val="16"/>
                <w:szCs w:val="16"/>
              </w:rPr>
              <w:t>PARCIAL</w:t>
            </w:r>
          </w:p>
        </w:tc>
        <w:tc>
          <w:tcPr>
            <w:tcW w:w="1276" w:type="dxa"/>
            <w:shd w:val="clear" w:color="000000" w:fill="00B0F0"/>
            <w:vAlign w:val="center"/>
            <w:hideMark/>
          </w:tcPr>
          <w:p w14:paraId="26463286" w14:textId="77777777" w:rsidR="004A6248" w:rsidRPr="00E512A8" w:rsidRDefault="004A6248" w:rsidP="000F099B">
            <w:pPr>
              <w:jc w:val="center"/>
              <w:rPr>
                <w:rFonts w:asciiTheme="majorHAnsi" w:eastAsia="Times New Roman" w:hAnsiTheme="majorHAnsi" w:cstheme="majorHAnsi"/>
                <w:sz w:val="16"/>
                <w:szCs w:val="16"/>
                <w:lang w:val="es-CO" w:eastAsia="es-CO"/>
              </w:rPr>
            </w:pPr>
            <w:r w:rsidRPr="00E512A8">
              <w:rPr>
                <w:rFonts w:asciiTheme="majorHAnsi" w:hAnsiTheme="majorHAnsi" w:cstheme="majorHAnsi"/>
                <w:sz w:val="16"/>
                <w:szCs w:val="16"/>
              </w:rPr>
              <w:t>Definido</w:t>
            </w:r>
          </w:p>
        </w:tc>
        <w:tc>
          <w:tcPr>
            <w:tcW w:w="851" w:type="dxa"/>
            <w:shd w:val="clear" w:color="auto" w:fill="auto"/>
            <w:vAlign w:val="center"/>
            <w:hideMark/>
          </w:tcPr>
          <w:p w14:paraId="6E0CFBBE" w14:textId="77777777" w:rsidR="004A6248" w:rsidRPr="00E512A8" w:rsidRDefault="004A6248" w:rsidP="000F099B">
            <w:pPr>
              <w:jc w:val="cente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60%</w:t>
            </w:r>
          </w:p>
        </w:tc>
        <w:tc>
          <w:tcPr>
            <w:tcW w:w="3827" w:type="dxa"/>
            <w:shd w:val="clear" w:color="auto" w:fill="auto"/>
            <w:vAlign w:val="center"/>
            <w:hideMark/>
          </w:tcPr>
          <w:p w14:paraId="0322A9A7" w14:textId="77777777" w:rsidR="004A6248" w:rsidRPr="00E512A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Definir requisitos de seguridad de la información para el desarrollo de sistemas de información</w:t>
            </w:r>
          </w:p>
        </w:tc>
        <w:tc>
          <w:tcPr>
            <w:tcW w:w="1843" w:type="dxa"/>
          </w:tcPr>
          <w:p w14:paraId="63D3286F" w14:textId="77777777" w:rsidR="004A6248" w:rsidRPr="00E512A8" w:rsidRDefault="004A6248" w:rsidP="000F099B">
            <w:pPr>
              <w:rPr>
                <w:rFonts w:asciiTheme="majorHAnsi" w:hAnsiTheme="majorHAnsi" w:cstheme="majorHAnsi"/>
                <w:color w:val="000000"/>
                <w:sz w:val="16"/>
                <w:szCs w:val="16"/>
              </w:rPr>
            </w:pPr>
          </w:p>
        </w:tc>
      </w:tr>
      <w:tr w:rsidR="004A6248" w:rsidRPr="00795864" w14:paraId="74B7B1F1" w14:textId="77777777" w:rsidTr="004A6248">
        <w:trPr>
          <w:trHeight w:val="20"/>
        </w:trPr>
        <w:tc>
          <w:tcPr>
            <w:tcW w:w="546" w:type="dxa"/>
            <w:shd w:val="clear" w:color="auto" w:fill="auto"/>
            <w:vAlign w:val="center"/>
            <w:hideMark/>
          </w:tcPr>
          <w:p w14:paraId="744CB35E"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14.1.2</w:t>
            </w:r>
          </w:p>
        </w:tc>
        <w:tc>
          <w:tcPr>
            <w:tcW w:w="1156" w:type="dxa"/>
            <w:shd w:val="clear" w:color="auto" w:fill="auto"/>
            <w:vAlign w:val="center"/>
            <w:hideMark/>
          </w:tcPr>
          <w:p w14:paraId="3D8A10C3"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Seguridad de los servicios de las aplicaciones en redes públicas</w:t>
            </w:r>
          </w:p>
        </w:tc>
        <w:tc>
          <w:tcPr>
            <w:tcW w:w="2551" w:type="dxa"/>
            <w:shd w:val="clear" w:color="auto" w:fill="auto"/>
            <w:vAlign w:val="center"/>
            <w:hideMark/>
          </w:tcPr>
          <w:p w14:paraId="74B1ED2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 información involucrada en servicios de aplicaciones que pasan sobre redes públicas se debe proteger de actividades fraudulentas, disputas contractuales, divulgación y modificación no autorizadas.</w:t>
            </w:r>
          </w:p>
        </w:tc>
        <w:tc>
          <w:tcPr>
            <w:tcW w:w="826" w:type="dxa"/>
            <w:shd w:val="clear" w:color="000000" w:fill="008000"/>
            <w:vAlign w:val="center"/>
            <w:hideMark/>
          </w:tcPr>
          <w:p w14:paraId="68E46CC6" w14:textId="77777777" w:rsidR="004A6248" w:rsidRPr="00E512A8" w:rsidRDefault="004A6248" w:rsidP="000F099B">
            <w:pPr>
              <w:jc w:val="center"/>
              <w:rPr>
                <w:rFonts w:asciiTheme="majorHAnsi" w:eastAsia="Times New Roman" w:hAnsiTheme="majorHAnsi" w:cstheme="majorHAnsi"/>
                <w:b/>
                <w:bCs/>
                <w:color w:val="FFFFFF"/>
                <w:sz w:val="16"/>
                <w:szCs w:val="16"/>
                <w:lang w:val="es-CO" w:eastAsia="es-CO"/>
              </w:rPr>
            </w:pPr>
            <w:r w:rsidRPr="00E512A8">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1E2DE656" w14:textId="77777777" w:rsidR="004A624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eastAsia="Times New Roman" w:hAnsiTheme="majorHAnsi" w:cstheme="majorHAnsi"/>
                <w:color w:val="000000"/>
                <w:sz w:val="16"/>
                <w:szCs w:val="16"/>
                <w:lang w:val="es-CO" w:eastAsia="es-CO"/>
              </w:rPr>
              <w:t xml:space="preserve">* No se realiza análisis de vulnerabilidades, de </w:t>
            </w:r>
            <w:proofErr w:type="spellStart"/>
            <w:r w:rsidRPr="00E512A8">
              <w:rPr>
                <w:rFonts w:asciiTheme="majorHAnsi" w:eastAsia="Times New Roman" w:hAnsiTheme="majorHAnsi" w:cstheme="majorHAnsi"/>
                <w:color w:val="000000"/>
                <w:sz w:val="16"/>
                <w:szCs w:val="16"/>
                <w:lang w:val="es-CO" w:eastAsia="es-CO"/>
              </w:rPr>
              <w:t>hardening</w:t>
            </w:r>
            <w:proofErr w:type="spellEnd"/>
            <w:r w:rsidRPr="00E512A8">
              <w:rPr>
                <w:rFonts w:asciiTheme="majorHAnsi" w:eastAsia="Times New Roman" w:hAnsiTheme="majorHAnsi" w:cstheme="majorHAnsi"/>
                <w:color w:val="000000"/>
                <w:sz w:val="16"/>
                <w:szCs w:val="16"/>
                <w:lang w:val="es-CO" w:eastAsia="es-CO"/>
              </w:rPr>
              <w:t>.</w:t>
            </w:r>
            <w:r w:rsidRPr="00E512A8">
              <w:rPr>
                <w:rFonts w:asciiTheme="majorHAnsi" w:eastAsia="Times New Roman" w:hAnsiTheme="majorHAnsi" w:cstheme="majorHAnsi"/>
                <w:color w:val="000000"/>
                <w:sz w:val="16"/>
                <w:szCs w:val="16"/>
                <w:lang w:val="es-CO" w:eastAsia="es-CO"/>
              </w:rPr>
              <w:br/>
              <w:t>* No se cuenta con guías de aseguramiento.</w:t>
            </w:r>
          </w:p>
          <w:p w14:paraId="61EA3520" w14:textId="77777777" w:rsidR="004A624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eastAsia="Times New Roman" w:hAnsiTheme="majorHAnsi" w:cstheme="majorHAnsi"/>
                <w:color w:val="000000"/>
                <w:sz w:val="16"/>
                <w:szCs w:val="16"/>
                <w:lang w:val="es-CO" w:eastAsia="es-CO"/>
              </w:rPr>
              <w:t>*</w:t>
            </w:r>
            <w:r>
              <w:rPr>
                <w:rFonts w:asciiTheme="majorHAnsi" w:eastAsia="Times New Roman" w:hAnsiTheme="majorHAnsi" w:cstheme="majorHAnsi"/>
                <w:color w:val="000000"/>
                <w:sz w:val="16"/>
                <w:szCs w:val="16"/>
                <w:lang w:val="es-CO" w:eastAsia="es-CO"/>
              </w:rPr>
              <w:t xml:space="preserve"> </w:t>
            </w:r>
            <w:r w:rsidRPr="00E512A8">
              <w:rPr>
                <w:rFonts w:asciiTheme="majorHAnsi" w:eastAsia="Times New Roman" w:hAnsiTheme="majorHAnsi" w:cstheme="majorHAnsi"/>
                <w:color w:val="000000"/>
                <w:sz w:val="16"/>
                <w:szCs w:val="16"/>
                <w:lang w:val="es-CO" w:eastAsia="es-CO"/>
              </w:rPr>
              <w:t>Se hace parcheo</w:t>
            </w:r>
          </w:p>
          <w:p w14:paraId="7104FC31" w14:textId="77777777" w:rsidR="004A624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eastAsia="Times New Roman" w:hAnsiTheme="majorHAnsi" w:cstheme="majorHAnsi"/>
                <w:color w:val="000000"/>
                <w:sz w:val="16"/>
                <w:szCs w:val="16"/>
                <w:lang w:val="es-CO" w:eastAsia="es-CO"/>
              </w:rPr>
              <w:t xml:space="preserve">* Implementación de certificado SSL </w:t>
            </w:r>
          </w:p>
          <w:p w14:paraId="674BCF65" w14:textId="77777777" w:rsidR="004A6248" w:rsidRPr="00E512A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eastAsia="Times New Roman" w:hAnsiTheme="majorHAnsi" w:cstheme="majorHAnsi"/>
                <w:color w:val="000000"/>
                <w:sz w:val="16"/>
                <w:szCs w:val="16"/>
                <w:lang w:val="es-CO" w:eastAsia="es-CO"/>
              </w:rPr>
              <w:t xml:space="preserve">* Aseguramiento a nivel de red. </w:t>
            </w:r>
          </w:p>
        </w:tc>
        <w:tc>
          <w:tcPr>
            <w:tcW w:w="1275" w:type="dxa"/>
            <w:shd w:val="clear" w:color="000000" w:fill="E26B0A"/>
            <w:vAlign w:val="center"/>
            <w:hideMark/>
          </w:tcPr>
          <w:p w14:paraId="62604F99" w14:textId="77777777" w:rsidR="004A6248" w:rsidRPr="00E512A8" w:rsidRDefault="004A6248" w:rsidP="000F099B">
            <w:pPr>
              <w:jc w:val="center"/>
              <w:rPr>
                <w:rFonts w:asciiTheme="majorHAnsi" w:eastAsia="Times New Roman" w:hAnsiTheme="majorHAnsi" w:cstheme="majorHAnsi"/>
                <w:b/>
                <w:bCs/>
                <w:sz w:val="16"/>
                <w:szCs w:val="16"/>
                <w:lang w:val="es-CO" w:eastAsia="es-CO"/>
              </w:rPr>
            </w:pPr>
            <w:r w:rsidRPr="00E512A8">
              <w:rPr>
                <w:rFonts w:asciiTheme="majorHAnsi" w:hAnsiTheme="majorHAnsi" w:cstheme="majorHAnsi"/>
                <w:b/>
                <w:bCs/>
                <w:sz w:val="16"/>
                <w:szCs w:val="16"/>
              </w:rPr>
              <w:t>PARCIAL</w:t>
            </w:r>
          </w:p>
        </w:tc>
        <w:tc>
          <w:tcPr>
            <w:tcW w:w="1276" w:type="dxa"/>
            <w:shd w:val="clear" w:color="000000" w:fill="00B0F0"/>
            <w:vAlign w:val="center"/>
            <w:hideMark/>
          </w:tcPr>
          <w:p w14:paraId="23DA8EBB" w14:textId="77777777" w:rsidR="004A6248" w:rsidRPr="00E512A8" w:rsidRDefault="004A6248" w:rsidP="000F099B">
            <w:pPr>
              <w:jc w:val="center"/>
              <w:rPr>
                <w:rFonts w:asciiTheme="majorHAnsi" w:eastAsia="Times New Roman" w:hAnsiTheme="majorHAnsi" w:cstheme="majorHAnsi"/>
                <w:sz w:val="16"/>
                <w:szCs w:val="16"/>
                <w:lang w:val="es-CO" w:eastAsia="es-CO"/>
              </w:rPr>
            </w:pPr>
            <w:r w:rsidRPr="00E512A8">
              <w:rPr>
                <w:rFonts w:asciiTheme="majorHAnsi" w:hAnsiTheme="majorHAnsi" w:cstheme="majorHAnsi"/>
                <w:sz w:val="16"/>
                <w:szCs w:val="16"/>
              </w:rPr>
              <w:t>Definido</w:t>
            </w:r>
          </w:p>
        </w:tc>
        <w:tc>
          <w:tcPr>
            <w:tcW w:w="851" w:type="dxa"/>
            <w:shd w:val="clear" w:color="auto" w:fill="auto"/>
            <w:vAlign w:val="center"/>
            <w:hideMark/>
          </w:tcPr>
          <w:p w14:paraId="12A24FDD" w14:textId="77777777" w:rsidR="004A6248" w:rsidRPr="00E512A8" w:rsidRDefault="004A6248" w:rsidP="000F099B">
            <w:pPr>
              <w:jc w:val="cente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60%</w:t>
            </w:r>
          </w:p>
        </w:tc>
        <w:tc>
          <w:tcPr>
            <w:tcW w:w="3827" w:type="dxa"/>
            <w:shd w:val="clear" w:color="auto" w:fill="auto"/>
            <w:vAlign w:val="center"/>
            <w:hideMark/>
          </w:tcPr>
          <w:p w14:paraId="77DE800A" w14:textId="77777777" w:rsidR="004A6248" w:rsidRPr="00E512A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Revisar la seguridad de las aplicaciones en redes publicas</w:t>
            </w:r>
          </w:p>
        </w:tc>
        <w:tc>
          <w:tcPr>
            <w:tcW w:w="1843" w:type="dxa"/>
          </w:tcPr>
          <w:p w14:paraId="2DE2E6A9" w14:textId="77777777" w:rsidR="004A6248" w:rsidRPr="00E512A8" w:rsidRDefault="004A6248" w:rsidP="000F099B">
            <w:pPr>
              <w:rPr>
                <w:rFonts w:asciiTheme="majorHAnsi" w:hAnsiTheme="majorHAnsi" w:cstheme="majorHAnsi"/>
                <w:color w:val="000000"/>
                <w:sz w:val="16"/>
                <w:szCs w:val="16"/>
              </w:rPr>
            </w:pPr>
          </w:p>
        </w:tc>
      </w:tr>
      <w:tr w:rsidR="004A6248" w:rsidRPr="00795864" w14:paraId="6957CCA1" w14:textId="77777777" w:rsidTr="004A6248">
        <w:trPr>
          <w:trHeight w:val="20"/>
        </w:trPr>
        <w:tc>
          <w:tcPr>
            <w:tcW w:w="546" w:type="dxa"/>
            <w:shd w:val="clear" w:color="auto" w:fill="auto"/>
            <w:vAlign w:val="center"/>
            <w:hideMark/>
          </w:tcPr>
          <w:p w14:paraId="46324E81"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14.1.3</w:t>
            </w:r>
          </w:p>
        </w:tc>
        <w:tc>
          <w:tcPr>
            <w:tcW w:w="1156" w:type="dxa"/>
            <w:shd w:val="clear" w:color="auto" w:fill="auto"/>
            <w:vAlign w:val="center"/>
            <w:hideMark/>
          </w:tcPr>
          <w:p w14:paraId="12FA90B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Protección de transacciones de servicios de aplicaciones</w:t>
            </w:r>
          </w:p>
        </w:tc>
        <w:tc>
          <w:tcPr>
            <w:tcW w:w="2551" w:type="dxa"/>
            <w:shd w:val="clear" w:color="auto" w:fill="auto"/>
            <w:vAlign w:val="center"/>
            <w:hideMark/>
          </w:tcPr>
          <w:p w14:paraId="318DAA5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 información involucrada en las transacciones de servicios de aplicaciones se debe proteger para prevenir la transmisión incompleta, el enrutamiento errado, la alteración no autorizada de mensajes, la divulgación no autorizada, y la duplicación o reproducción de mensajes no autorizada.</w:t>
            </w:r>
          </w:p>
        </w:tc>
        <w:tc>
          <w:tcPr>
            <w:tcW w:w="826" w:type="dxa"/>
            <w:shd w:val="clear" w:color="000000" w:fill="008000"/>
            <w:vAlign w:val="center"/>
            <w:hideMark/>
          </w:tcPr>
          <w:p w14:paraId="22CDD0B6" w14:textId="77777777" w:rsidR="004A6248" w:rsidRPr="00E512A8" w:rsidRDefault="004A6248" w:rsidP="000F099B">
            <w:pPr>
              <w:jc w:val="center"/>
              <w:rPr>
                <w:rFonts w:asciiTheme="majorHAnsi" w:eastAsia="Times New Roman" w:hAnsiTheme="majorHAnsi" w:cstheme="majorHAnsi"/>
                <w:b/>
                <w:bCs/>
                <w:color w:val="FFFFFF"/>
                <w:sz w:val="16"/>
                <w:szCs w:val="16"/>
                <w:lang w:val="es-CO" w:eastAsia="es-CO"/>
              </w:rPr>
            </w:pPr>
            <w:r w:rsidRPr="00E512A8">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4CCC938F" w14:textId="77777777" w:rsidR="004A6248" w:rsidRPr="00E512A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eastAsia="Times New Roman" w:hAnsiTheme="majorHAnsi" w:cstheme="majorHAnsi"/>
                <w:color w:val="000000"/>
                <w:sz w:val="16"/>
                <w:szCs w:val="16"/>
                <w:lang w:val="es-CO" w:eastAsia="es-CO"/>
              </w:rPr>
              <w:t>* Se controlan las comunicaciones en el FW, se utiliza un pool de puertos dinámicos.</w:t>
            </w:r>
          </w:p>
        </w:tc>
        <w:tc>
          <w:tcPr>
            <w:tcW w:w="1275" w:type="dxa"/>
            <w:shd w:val="clear" w:color="000000" w:fill="FF0000"/>
            <w:vAlign w:val="center"/>
            <w:hideMark/>
          </w:tcPr>
          <w:p w14:paraId="5F45ACB0" w14:textId="77777777" w:rsidR="004A6248" w:rsidRPr="00E512A8" w:rsidRDefault="004A6248" w:rsidP="000F099B">
            <w:pPr>
              <w:jc w:val="center"/>
              <w:rPr>
                <w:rFonts w:asciiTheme="majorHAnsi" w:eastAsia="Times New Roman" w:hAnsiTheme="majorHAnsi" w:cstheme="majorHAnsi"/>
                <w:b/>
                <w:bCs/>
                <w:sz w:val="16"/>
                <w:szCs w:val="16"/>
                <w:lang w:val="es-CO" w:eastAsia="es-CO"/>
              </w:rPr>
            </w:pPr>
            <w:r w:rsidRPr="00E512A8">
              <w:rPr>
                <w:rFonts w:asciiTheme="majorHAnsi" w:hAnsiTheme="majorHAnsi" w:cstheme="majorHAnsi"/>
                <w:b/>
                <w:bCs/>
                <w:sz w:val="16"/>
                <w:szCs w:val="16"/>
              </w:rPr>
              <w:t>NO</w:t>
            </w:r>
          </w:p>
        </w:tc>
        <w:tc>
          <w:tcPr>
            <w:tcW w:w="1276" w:type="dxa"/>
            <w:shd w:val="clear" w:color="000000" w:fill="FF0000"/>
            <w:vAlign w:val="center"/>
            <w:hideMark/>
          </w:tcPr>
          <w:p w14:paraId="0EFED0AE" w14:textId="77777777" w:rsidR="004A6248" w:rsidRPr="00E512A8" w:rsidRDefault="004A6248" w:rsidP="000F099B">
            <w:pPr>
              <w:jc w:val="center"/>
              <w:rPr>
                <w:rFonts w:asciiTheme="majorHAnsi" w:eastAsia="Times New Roman" w:hAnsiTheme="majorHAnsi" w:cstheme="majorHAnsi"/>
                <w:sz w:val="16"/>
                <w:szCs w:val="16"/>
                <w:lang w:val="es-CO" w:eastAsia="es-CO"/>
              </w:rPr>
            </w:pPr>
            <w:r w:rsidRPr="00E512A8">
              <w:rPr>
                <w:rFonts w:asciiTheme="majorHAnsi" w:hAnsiTheme="majorHAnsi" w:cstheme="majorHAnsi"/>
                <w:sz w:val="16"/>
                <w:szCs w:val="16"/>
              </w:rPr>
              <w:t>Inexistente</w:t>
            </w:r>
          </w:p>
        </w:tc>
        <w:tc>
          <w:tcPr>
            <w:tcW w:w="851" w:type="dxa"/>
            <w:shd w:val="clear" w:color="auto" w:fill="auto"/>
            <w:vAlign w:val="center"/>
            <w:hideMark/>
          </w:tcPr>
          <w:p w14:paraId="60985689" w14:textId="77777777" w:rsidR="004A6248" w:rsidRPr="00E512A8" w:rsidRDefault="004A6248" w:rsidP="000F099B">
            <w:pPr>
              <w:jc w:val="cente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0%</w:t>
            </w:r>
          </w:p>
        </w:tc>
        <w:tc>
          <w:tcPr>
            <w:tcW w:w="3827" w:type="dxa"/>
            <w:shd w:val="clear" w:color="auto" w:fill="auto"/>
            <w:vAlign w:val="center"/>
            <w:hideMark/>
          </w:tcPr>
          <w:p w14:paraId="4F3CAFDE" w14:textId="77777777" w:rsidR="004A6248" w:rsidRPr="00E512A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Revisar la seguridad de las aplicaciones en redes publicas</w:t>
            </w:r>
          </w:p>
        </w:tc>
        <w:tc>
          <w:tcPr>
            <w:tcW w:w="1843" w:type="dxa"/>
          </w:tcPr>
          <w:p w14:paraId="6633B947" w14:textId="77777777" w:rsidR="004A6248" w:rsidRPr="00E512A8" w:rsidRDefault="004A6248" w:rsidP="000F099B">
            <w:pPr>
              <w:rPr>
                <w:rFonts w:asciiTheme="majorHAnsi" w:hAnsiTheme="majorHAnsi" w:cstheme="majorHAnsi"/>
                <w:color w:val="000000"/>
                <w:sz w:val="16"/>
                <w:szCs w:val="16"/>
              </w:rPr>
            </w:pPr>
          </w:p>
        </w:tc>
      </w:tr>
      <w:tr w:rsidR="004A6248" w:rsidRPr="00795864" w14:paraId="71D18FA9" w14:textId="77777777" w:rsidTr="004A6248">
        <w:trPr>
          <w:trHeight w:val="20"/>
        </w:trPr>
        <w:tc>
          <w:tcPr>
            <w:tcW w:w="546" w:type="dxa"/>
            <w:shd w:val="clear" w:color="000000" w:fill="538DD5"/>
            <w:vAlign w:val="center"/>
            <w:hideMark/>
          </w:tcPr>
          <w:p w14:paraId="685235A5"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14.2</w:t>
            </w:r>
          </w:p>
        </w:tc>
        <w:tc>
          <w:tcPr>
            <w:tcW w:w="10653" w:type="dxa"/>
            <w:gridSpan w:val="6"/>
            <w:shd w:val="clear" w:color="000000" w:fill="538DD5"/>
            <w:vAlign w:val="center"/>
            <w:hideMark/>
          </w:tcPr>
          <w:p w14:paraId="34E0F021"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Seguridad en los procesos de desarrollo y de soporte</w:t>
            </w:r>
          </w:p>
        </w:tc>
        <w:tc>
          <w:tcPr>
            <w:tcW w:w="851" w:type="dxa"/>
            <w:shd w:val="clear" w:color="000000" w:fill="538DD5"/>
            <w:vAlign w:val="center"/>
            <w:hideMark/>
          </w:tcPr>
          <w:p w14:paraId="3468FF20"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0%</w:t>
            </w:r>
          </w:p>
        </w:tc>
        <w:tc>
          <w:tcPr>
            <w:tcW w:w="3827" w:type="dxa"/>
            <w:shd w:val="clear" w:color="000000" w:fill="538DD5"/>
            <w:vAlign w:val="center"/>
            <w:hideMark/>
          </w:tcPr>
          <w:p w14:paraId="3B103FFF"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7973FD83"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0CF7FB43" w14:textId="77777777" w:rsidTr="004A6248">
        <w:trPr>
          <w:trHeight w:val="20"/>
        </w:trPr>
        <w:tc>
          <w:tcPr>
            <w:tcW w:w="546" w:type="dxa"/>
            <w:shd w:val="clear" w:color="000000" w:fill="538DD5"/>
            <w:vAlign w:val="center"/>
            <w:hideMark/>
          </w:tcPr>
          <w:p w14:paraId="0F813704"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6B28483A"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Asegurar de que la seguridad de la información esté diseñada e implementada dentro del ciclo de vida de desarrollo de los sistemas de información.</w:t>
            </w:r>
          </w:p>
        </w:tc>
        <w:tc>
          <w:tcPr>
            <w:tcW w:w="851" w:type="dxa"/>
            <w:shd w:val="clear" w:color="000000" w:fill="538DD5"/>
            <w:vAlign w:val="center"/>
            <w:hideMark/>
          </w:tcPr>
          <w:p w14:paraId="0367C69F"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3827" w:type="dxa"/>
            <w:shd w:val="clear" w:color="000000" w:fill="538DD5"/>
            <w:vAlign w:val="center"/>
            <w:hideMark/>
          </w:tcPr>
          <w:p w14:paraId="3F3B6474"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843" w:type="dxa"/>
            <w:shd w:val="clear" w:color="000000" w:fill="538DD5"/>
          </w:tcPr>
          <w:p w14:paraId="648993CD" w14:textId="77777777" w:rsidR="004A6248" w:rsidRPr="00795864" w:rsidRDefault="004A6248" w:rsidP="000F099B">
            <w:pPr>
              <w:rPr>
                <w:rFonts w:asciiTheme="majorHAnsi" w:eastAsia="Times New Roman" w:hAnsiTheme="majorHAnsi" w:cstheme="majorHAnsi"/>
                <w:color w:val="FFFFFF"/>
                <w:sz w:val="16"/>
                <w:szCs w:val="16"/>
                <w:lang w:val="es-CO" w:eastAsia="es-CO"/>
              </w:rPr>
            </w:pPr>
          </w:p>
        </w:tc>
      </w:tr>
      <w:tr w:rsidR="004A6248" w:rsidRPr="00E512A8" w14:paraId="6F5E8E29" w14:textId="77777777" w:rsidTr="004A6248">
        <w:trPr>
          <w:trHeight w:val="20"/>
        </w:trPr>
        <w:tc>
          <w:tcPr>
            <w:tcW w:w="546" w:type="dxa"/>
            <w:shd w:val="clear" w:color="auto" w:fill="auto"/>
            <w:vAlign w:val="center"/>
            <w:hideMark/>
          </w:tcPr>
          <w:p w14:paraId="206F0060"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14.2.1</w:t>
            </w:r>
          </w:p>
        </w:tc>
        <w:tc>
          <w:tcPr>
            <w:tcW w:w="1156" w:type="dxa"/>
            <w:shd w:val="clear" w:color="auto" w:fill="auto"/>
            <w:vAlign w:val="center"/>
            <w:hideMark/>
          </w:tcPr>
          <w:p w14:paraId="5D6E1DD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Política de desarrollo seguro</w:t>
            </w:r>
          </w:p>
        </w:tc>
        <w:tc>
          <w:tcPr>
            <w:tcW w:w="2551" w:type="dxa"/>
            <w:shd w:val="clear" w:color="auto" w:fill="auto"/>
            <w:vAlign w:val="center"/>
            <w:hideMark/>
          </w:tcPr>
          <w:p w14:paraId="647BBF6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Reglas para el desarrollo de software y sistemas deben establecerse y aplicarse a los desarrollos dentro de la </w:t>
            </w:r>
            <w:r w:rsidRPr="00795864">
              <w:rPr>
                <w:rFonts w:asciiTheme="majorHAnsi" w:eastAsia="Times New Roman" w:hAnsiTheme="majorHAnsi" w:cstheme="majorHAnsi"/>
                <w:color w:val="000000"/>
                <w:sz w:val="16"/>
                <w:szCs w:val="16"/>
                <w:lang w:val="es-CO" w:eastAsia="es-CO"/>
              </w:rPr>
              <w:lastRenderedPageBreak/>
              <w:t>organización.</w:t>
            </w:r>
          </w:p>
        </w:tc>
        <w:tc>
          <w:tcPr>
            <w:tcW w:w="826" w:type="dxa"/>
            <w:shd w:val="clear" w:color="000000" w:fill="008000"/>
            <w:vAlign w:val="center"/>
            <w:hideMark/>
          </w:tcPr>
          <w:p w14:paraId="7A6BE89A"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lastRenderedPageBreak/>
              <w:t>Aplica</w:t>
            </w:r>
          </w:p>
        </w:tc>
        <w:tc>
          <w:tcPr>
            <w:tcW w:w="3569" w:type="dxa"/>
            <w:shd w:val="clear" w:color="auto" w:fill="auto"/>
            <w:vAlign w:val="center"/>
            <w:hideMark/>
          </w:tcPr>
          <w:p w14:paraId="18C74FA3" w14:textId="77777777" w:rsidR="004A6248" w:rsidRPr="00E512A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 No existe política de desarrollo seguro.</w:t>
            </w:r>
          </w:p>
        </w:tc>
        <w:tc>
          <w:tcPr>
            <w:tcW w:w="1275" w:type="dxa"/>
            <w:shd w:val="clear" w:color="000000" w:fill="FF0000"/>
            <w:vAlign w:val="center"/>
            <w:hideMark/>
          </w:tcPr>
          <w:p w14:paraId="3146E513" w14:textId="77777777" w:rsidR="004A6248" w:rsidRPr="00E512A8" w:rsidRDefault="004A6248" w:rsidP="000F099B">
            <w:pPr>
              <w:jc w:val="center"/>
              <w:rPr>
                <w:rFonts w:asciiTheme="majorHAnsi" w:eastAsia="Times New Roman" w:hAnsiTheme="majorHAnsi" w:cstheme="majorHAnsi"/>
                <w:b/>
                <w:bCs/>
                <w:sz w:val="16"/>
                <w:szCs w:val="16"/>
                <w:lang w:val="es-CO" w:eastAsia="es-CO"/>
              </w:rPr>
            </w:pPr>
            <w:r w:rsidRPr="00E512A8">
              <w:rPr>
                <w:rFonts w:asciiTheme="majorHAnsi" w:hAnsiTheme="majorHAnsi" w:cstheme="majorHAnsi"/>
                <w:b/>
                <w:bCs/>
                <w:sz w:val="16"/>
                <w:szCs w:val="16"/>
              </w:rPr>
              <w:t>NO</w:t>
            </w:r>
          </w:p>
        </w:tc>
        <w:tc>
          <w:tcPr>
            <w:tcW w:w="1276" w:type="dxa"/>
            <w:shd w:val="clear" w:color="000000" w:fill="FF0000"/>
            <w:vAlign w:val="center"/>
            <w:hideMark/>
          </w:tcPr>
          <w:p w14:paraId="07CEE0F9" w14:textId="77777777" w:rsidR="004A6248" w:rsidRPr="00E512A8" w:rsidRDefault="004A6248" w:rsidP="000F099B">
            <w:pPr>
              <w:jc w:val="center"/>
              <w:rPr>
                <w:rFonts w:asciiTheme="majorHAnsi" w:eastAsia="Times New Roman" w:hAnsiTheme="majorHAnsi" w:cstheme="majorHAnsi"/>
                <w:sz w:val="16"/>
                <w:szCs w:val="16"/>
                <w:lang w:val="es-CO" w:eastAsia="es-CO"/>
              </w:rPr>
            </w:pPr>
            <w:r w:rsidRPr="00E512A8">
              <w:rPr>
                <w:rFonts w:asciiTheme="majorHAnsi" w:hAnsiTheme="majorHAnsi" w:cstheme="majorHAnsi"/>
                <w:sz w:val="16"/>
                <w:szCs w:val="16"/>
              </w:rPr>
              <w:t>Inexistente</w:t>
            </w:r>
          </w:p>
        </w:tc>
        <w:tc>
          <w:tcPr>
            <w:tcW w:w="851" w:type="dxa"/>
            <w:shd w:val="clear" w:color="auto" w:fill="auto"/>
            <w:vAlign w:val="center"/>
            <w:hideMark/>
          </w:tcPr>
          <w:p w14:paraId="2699667B" w14:textId="77777777" w:rsidR="004A6248" w:rsidRPr="00E512A8" w:rsidRDefault="004A6248" w:rsidP="000F099B">
            <w:pPr>
              <w:jc w:val="cente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0%</w:t>
            </w:r>
          </w:p>
        </w:tc>
        <w:tc>
          <w:tcPr>
            <w:tcW w:w="3827" w:type="dxa"/>
            <w:shd w:val="clear" w:color="auto" w:fill="auto"/>
            <w:vAlign w:val="center"/>
            <w:hideMark/>
          </w:tcPr>
          <w:p w14:paraId="65FD5519" w14:textId="77777777" w:rsidR="004A6248" w:rsidRPr="00E512A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Definir políticas de desarrollo seguro</w:t>
            </w:r>
          </w:p>
        </w:tc>
        <w:tc>
          <w:tcPr>
            <w:tcW w:w="1843" w:type="dxa"/>
          </w:tcPr>
          <w:p w14:paraId="42B686CF" w14:textId="77777777" w:rsidR="004A6248" w:rsidRPr="00E512A8" w:rsidRDefault="004A6248" w:rsidP="000F099B">
            <w:pPr>
              <w:rPr>
                <w:rFonts w:asciiTheme="majorHAnsi" w:hAnsiTheme="majorHAnsi" w:cstheme="majorHAnsi"/>
                <w:color w:val="000000"/>
                <w:sz w:val="16"/>
                <w:szCs w:val="16"/>
              </w:rPr>
            </w:pPr>
          </w:p>
        </w:tc>
      </w:tr>
      <w:tr w:rsidR="004A6248" w:rsidRPr="00E512A8" w14:paraId="54AA93BC" w14:textId="77777777" w:rsidTr="004A6248">
        <w:trPr>
          <w:trHeight w:val="20"/>
        </w:trPr>
        <w:tc>
          <w:tcPr>
            <w:tcW w:w="546" w:type="dxa"/>
            <w:shd w:val="clear" w:color="auto" w:fill="auto"/>
            <w:vAlign w:val="center"/>
            <w:hideMark/>
          </w:tcPr>
          <w:p w14:paraId="1980A85E"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14.2.2</w:t>
            </w:r>
          </w:p>
        </w:tc>
        <w:tc>
          <w:tcPr>
            <w:tcW w:w="1156" w:type="dxa"/>
            <w:shd w:val="clear" w:color="auto" w:fill="auto"/>
            <w:vAlign w:val="center"/>
            <w:hideMark/>
          </w:tcPr>
          <w:p w14:paraId="77C7E02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Procedimientos de control de cambios en sistemas</w:t>
            </w:r>
          </w:p>
        </w:tc>
        <w:tc>
          <w:tcPr>
            <w:tcW w:w="2551" w:type="dxa"/>
            <w:shd w:val="clear" w:color="auto" w:fill="auto"/>
            <w:vAlign w:val="center"/>
            <w:hideMark/>
          </w:tcPr>
          <w:p w14:paraId="49EF5FB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cambios a los sistemas dentro del ciclo de vida de desarrollo se deben controlar mediante el uso de procedimientos formales de control de cambios.</w:t>
            </w:r>
          </w:p>
        </w:tc>
        <w:tc>
          <w:tcPr>
            <w:tcW w:w="826" w:type="dxa"/>
            <w:shd w:val="clear" w:color="000000" w:fill="008000"/>
            <w:vAlign w:val="center"/>
            <w:hideMark/>
          </w:tcPr>
          <w:p w14:paraId="7F378249"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0F8E1B11" w14:textId="77777777" w:rsidR="004A6248" w:rsidRPr="00E512A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 xml:space="preserve">* Se tiene un formato de cambios, sin embargo, no se cuenta con aprobación de cambios, no incluye </w:t>
            </w:r>
            <w:proofErr w:type="spellStart"/>
            <w:r w:rsidRPr="00E512A8">
              <w:rPr>
                <w:rFonts w:asciiTheme="majorHAnsi" w:hAnsiTheme="majorHAnsi" w:cstheme="majorHAnsi"/>
                <w:color w:val="000000"/>
                <w:sz w:val="16"/>
                <w:szCs w:val="16"/>
              </w:rPr>
              <w:t>rollback</w:t>
            </w:r>
            <w:proofErr w:type="spellEnd"/>
            <w:r w:rsidRPr="00E512A8">
              <w:rPr>
                <w:rFonts w:asciiTheme="majorHAnsi" w:hAnsiTheme="majorHAnsi" w:cstheme="majorHAnsi"/>
                <w:color w:val="000000"/>
                <w:sz w:val="16"/>
                <w:szCs w:val="16"/>
              </w:rPr>
              <w:t xml:space="preserve">, ni está documentado el procedimiento. </w:t>
            </w:r>
          </w:p>
        </w:tc>
        <w:tc>
          <w:tcPr>
            <w:tcW w:w="1275" w:type="dxa"/>
            <w:shd w:val="clear" w:color="000000" w:fill="E26B0A"/>
            <w:vAlign w:val="center"/>
            <w:hideMark/>
          </w:tcPr>
          <w:p w14:paraId="59B1080E" w14:textId="77777777" w:rsidR="004A6248" w:rsidRPr="00E512A8" w:rsidRDefault="004A6248" w:rsidP="000F099B">
            <w:pPr>
              <w:jc w:val="center"/>
              <w:rPr>
                <w:rFonts w:asciiTheme="majorHAnsi" w:eastAsia="Times New Roman" w:hAnsiTheme="majorHAnsi" w:cstheme="majorHAnsi"/>
                <w:b/>
                <w:bCs/>
                <w:sz w:val="16"/>
                <w:szCs w:val="16"/>
                <w:lang w:val="es-CO" w:eastAsia="es-CO"/>
              </w:rPr>
            </w:pPr>
            <w:r w:rsidRPr="00E512A8">
              <w:rPr>
                <w:rFonts w:asciiTheme="majorHAnsi" w:hAnsiTheme="majorHAnsi" w:cstheme="majorHAnsi"/>
                <w:b/>
                <w:bCs/>
                <w:sz w:val="16"/>
                <w:szCs w:val="16"/>
              </w:rPr>
              <w:t>PARCIAL</w:t>
            </w:r>
          </w:p>
        </w:tc>
        <w:tc>
          <w:tcPr>
            <w:tcW w:w="1276" w:type="dxa"/>
            <w:shd w:val="clear" w:color="000000" w:fill="E26B0A"/>
            <w:vAlign w:val="center"/>
            <w:hideMark/>
          </w:tcPr>
          <w:p w14:paraId="778EF9B8" w14:textId="77777777" w:rsidR="004A6248" w:rsidRPr="00E512A8" w:rsidRDefault="004A6248" w:rsidP="000F099B">
            <w:pPr>
              <w:jc w:val="center"/>
              <w:rPr>
                <w:rFonts w:asciiTheme="majorHAnsi" w:eastAsia="Times New Roman" w:hAnsiTheme="majorHAnsi" w:cstheme="majorHAnsi"/>
                <w:sz w:val="16"/>
                <w:szCs w:val="16"/>
                <w:lang w:val="es-CO" w:eastAsia="es-CO"/>
              </w:rPr>
            </w:pPr>
            <w:r w:rsidRPr="00E512A8">
              <w:rPr>
                <w:rFonts w:asciiTheme="majorHAnsi" w:hAnsiTheme="majorHAnsi" w:cstheme="majorHAnsi"/>
                <w:sz w:val="16"/>
                <w:szCs w:val="16"/>
              </w:rPr>
              <w:t>Inicial</w:t>
            </w:r>
          </w:p>
        </w:tc>
        <w:tc>
          <w:tcPr>
            <w:tcW w:w="851" w:type="dxa"/>
            <w:shd w:val="clear" w:color="auto" w:fill="auto"/>
            <w:vAlign w:val="center"/>
            <w:hideMark/>
          </w:tcPr>
          <w:p w14:paraId="430EF29E" w14:textId="77777777" w:rsidR="004A6248" w:rsidRPr="00E512A8" w:rsidRDefault="004A6248" w:rsidP="000F099B">
            <w:pPr>
              <w:jc w:val="cente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20%</w:t>
            </w:r>
          </w:p>
        </w:tc>
        <w:tc>
          <w:tcPr>
            <w:tcW w:w="3827" w:type="dxa"/>
            <w:shd w:val="clear" w:color="auto" w:fill="auto"/>
            <w:vAlign w:val="center"/>
            <w:hideMark/>
          </w:tcPr>
          <w:p w14:paraId="2F7E6B18" w14:textId="77777777" w:rsidR="004A6248" w:rsidRPr="00E512A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Definir procedimientos de control de cambios en sistemas</w:t>
            </w:r>
          </w:p>
        </w:tc>
        <w:tc>
          <w:tcPr>
            <w:tcW w:w="1843" w:type="dxa"/>
          </w:tcPr>
          <w:p w14:paraId="1FDF4D70" w14:textId="77777777" w:rsidR="004A6248" w:rsidRPr="00E512A8" w:rsidRDefault="004A6248" w:rsidP="000F099B">
            <w:pPr>
              <w:rPr>
                <w:rFonts w:asciiTheme="majorHAnsi" w:hAnsiTheme="majorHAnsi" w:cstheme="majorHAnsi"/>
                <w:color w:val="000000"/>
                <w:sz w:val="16"/>
                <w:szCs w:val="16"/>
              </w:rPr>
            </w:pPr>
          </w:p>
        </w:tc>
      </w:tr>
      <w:tr w:rsidR="004A6248" w:rsidRPr="00E512A8" w14:paraId="6E31EA39" w14:textId="77777777" w:rsidTr="004A6248">
        <w:trPr>
          <w:trHeight w:val="20"/>
        </w:trPr>
        <w:tc>
          <w:tcPr>
            <w:tcW w:w="546" w:type="dxa"/>
            <w:shd w:val="clear" w:color="auto" w:fill="auto"/>
            <w:vAlign w:val="center"/>
            <w:hideMark/>
          </w:tcPr>
          <w:p w14:paraId="2EF2692B"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14.2.3</w:t>
            </w:r>
          </w:p>
        </w:tc>
        <w:tc>
          <w:tcPr>
            <w:tcW w:w="1156" w:type="dxa"/>
            <w:shd w:val="clear" w:color="auto" w:fill="auto"/>
            <w:vAlign w:val="center"/>
            <w:hideMark/>
          </w:tcPr>
          <w:p w14:paraId="24B9503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Revisión técnica de aplicaciones después de cambios en la plataforma de operaciones</w:t>
            </w:r>
          </w:p>
        </w:tc>
        <w:tc>
          <w:tcPr>
            <w:tcW w:w="2551" w:type="dxa"/>
            <w:shd w:val="clear" w:color="auto" w:fill="auto"/>
            <w:vAlign w:val="center"/>
            <w:hideMark/>
          </w:tcPr>
          <w:p w14:paraId="7448282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Cuando se cambian las plataformas de operación, se deben revisar las aplicaciones críticas del negocio, y poner a prueba para asegurar que no haya impacto adverso en las operaciones o seguridad organizacionales.</w:t>
            </w:r>
          </w:p>
        </w:tc>
        <w:tc>
          <w:tcPr>
            <w:tcW w:w="826" w:type="dxa"/>
            <w:shd w:val="clear" w:color="000000" w:fill="008000"/>
            <w:vAlign w:val="center"/>
            <w:hideMark/>
          </w:tcPr>
          <w:p w14:paraId="0F391A8A"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1CBBE6CB" w14:textId="77777777" w:rsidR="004A6248" w:rsidRPr="00E512A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 No se realizan pruebas de seguridad después de cambios.</w:t>
            </w:r>
          </w:p>
        </w:tc>
        <w:tc>
          <w:tcPr>
            <w:tcW w:w="1275" w:type="dxa"/>
            <w:shd w:val="clear" w:color="000000" w:fill="FF0000"/>
            <w:vAlign w:val="center"/>
            <w:hideMark/>
          </w:tcPr>
          <w:p w14:paraId="6F91B83C" w14:textId="77777777" w:rsidR="004A6248" w:rsidRPr="00E512A8" w:rsidRDefault="004A6248" w:rsidP="000F099B">
            <w:pPr>
              <w:jc w:val="center"/>
              <w:rPr>
                <w:rFonts w:asciiTheme="majorHAnsi" w:eastAsia="Times New Roman" w:hAnsiTheme="majorHAnsi" w:cstheme="majorHAnsi"/>
                <w:b/>
                <w:bCs/>
                <w:sz w:val="16"/>
                <w:szCs w:val="16"/>
                <w:lang w:val="es-CO" w:eastAsia="es-CO"/>
              </w:rPr>
            </w:pPr>
            <w:r w:rsidRPr="00E512A8">
              <w:rPr>
                <w:rFonts w:asciiTheme="majorHAnsi" w:hAnsiTheme="majorHAnsi" w:cstheme="majorHAnsi"/>
                <w:b/>
                <w:bCs/>
                <w:sz w:val="16"/>
                <w:szCs w:val="16"/>
              </w:rPr>
              <w:t>NO</w:t>
            </w:r>
          </w:p>
        </w:tc>
        <w:tc>
          <w:tcPr>
            <w:tcW w:w="1276" w:type="dxa"/>
            <w:shd w:val="clear" w:color="000000" w:fill="FF0000"/>
            <w:vAlign w:val="center"/>
            <w:hideMark/>
          </w:tcPr>
          <w:p w14:paraId="4455C25E" w14:textId="77777777" w:rsidR="004A6248" w:rsidRPr="00E512A8" w:rsidRDefault="004A6248" w:rsidP="000F099B">
            <w:pPr>
              <w:jc w:val="center"/>
              <w:rPr>
                <w:rFonts w:asciiTheme="majorHAnsi" w:eastAsia="Times New Roman" w:hAnsiTheme="majorHAnsi" w:cstheme="majorHAnsi"/>
                <w:sz w:val="16"/>
                <w:szCs w:val="16"/>
                <w:lang w:val="es-CO" w:eastAsia="es-CO"/>
              </w:rPr>
            </w:pPr>
            <w:r w:rsidRPr="00E512A8">
              <w:rPr>
                <w:rFonts w:asciiTheme="majorHAnsi" w:hAnsiTheme="majorHAnsi" w:cstheme="majorHAnsi"/>
                <w:sz w:val="16"/>
                <w:szCs w:val="16"/>
              </w:rPr>
              <w:t>Inexistente</w:t>
            </w:r>
          </w:p>
        </w:tc>
        <w:tc>
          <w:tcPr>
            <w:tcW w:w="851" w:type="dxa"/>
            <w:shd w:val="clear" w:color="auto" w:fill="auto"/>
            <w:vAlign w:val="center"/>
            <w:hideMark/>
          </w:tcPr>
          <w:p w14:paraId="290E71A2" w14:textId="77777777" w:rsidR="004A6248" w:rsidRPr="00E512A8" w:rsidRDefault="004A6248" w:rsidP="000F099B">
            <w:pPr>
              <w:jc w:val="cente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0%</w:t>
            </w:r>
          </w:p>
        </w:tc>
        <w:tc>
          <w:tcPr>
            <w:tcW w:w="3827" w:type="dxa"/>
            <w:shd w:val="clear" w:color="auto" w:fill="auto"/>
            <w:vAlign w:val="center"/>
            <w:hideMark/>
          </w:tcPr>
          <w:p w14:paraId="2A2A1364" w14:textId="77777777" w:rsidR="004A6248" w:rsidRPr="00E512A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Definir procedimientos para la revisión técnica de aplicaciones después de cambios</w:t>
            </w:r>
          </w:p>
        </w:tc>
        <w:tc>
          <w:tcPr>
            <w:tcW w:w="1843" w:type="dxa"/>
          </w:tcPr>
          <w:p w14:paraId="2B36BE5E" w14:textId="77777777" w:rsidR="004A6248" w:rsidRPr="00E512A8" w:rsidRDefault="004A6248" w:rsidP="000F099B">
            <w:pPr>
              <w:rPr>
                <w:rFonts w:asciiTheme="majorHAnsi" w:hAnsiTheme="majorHAnsi" w:cstheme="majorHAnsi"/>
                <w:color w:val="000000"/>
                <w:sz w:val="16"/>
                <w:szCs w:val="16"/>
              </w:rPr>
            </w:pPr>
          </w:p>
        </w:tc>
      </w:tr>
      <w:tr w:rsidR="004A6248" w:rsidRPr="00E512A8" w14:paraId="0A790596" w14:textId="77777777" w:rsidTr="004A6248">
        <w:trPr>
          <w:trHeight w:val="20"/>
        </w:trPr>
        <w:tc>
          <w:tcPr>
            <w:tcW w:w="546" w:type="dxa"/>
            <w:shd w:val="clear" w:color="auto" w:fill="auto"/>
            <w:vAlign w:val="center"/>
            <w:hideMark/>
          </w:tcPr>
          <w:p w14:paraId="0BF370E4"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14.2.4</w:t>
            </w:r>
          </w:p>
        </w:tc>
        <w:tc>
          <w:tcPr>
            <w:tcW w:w="1156" w:type="dxa"/>
            <w:shd w:val="clear" w:color="auto" w:fill="auto"/>
            <w:vAlign w:val="center"/>
            <w:hideMark/>
          </w:tcPr>
          <w:p w14:paraId="153E88C3"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Restricciones sobre cambios en los paquetes de software</w:t>
            </w:r>
          </w:p>
        </w:tc>
        <w:tc>
          <w:tcPr>
            <w:tcW w:w="2551" w:type="dxa"/>
            <w:shd w:val="clear" w:color="auto" w:fill="auto"/>
            <w:vAlign w:val="center"/>
            <w:hideMark/>
          </w:tcPr>
          <w:p w14:paraId="1B11619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desalentar las modificaciones a los paquetes de software, limitarlas a los cambios necesarios, y todos los cambios se deben controlar estrictamente.</w:t>
            </w:r>
          </w:p>
        </w:tc>
        <w:tc>
          <w:tcPr>
            <w:tcW w:w="826" w:type="dxa"/>
            <w:shd w:val="clear" w:color="000000" w:fill="008000"/>
            <w:vAlign w:val="center"/>
            <w:hideMark/>
          </w:tcPr>
          <w:p w14:paraId="04D94236"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1DCDC41F" w14:textId="77777777" w:rsidR="004A6248" w:rsidRPr="00E512A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 No hay un procedimiento documentado de gestión de cambios.</w:t>
            </w:r>
          </w:p>
        </w:tc>
        <w:tc>
          <w:tcPr>
            <w:tcW w:w="1275" w:type="dxa"/>
            <w:shd w:val="clear" w:color="000000" w:fill="FF0000"/>
            <w:vAlign w:val="center"/>
            <w:hideMark/>
          </w:tcPr>
          <w:p w14:paraId="79E99D12" w14:textId="77777777" w:rsidR="004A6248" w:rsidRPr="00E512A8" w:rsidRDefault="004A6248" w:rsidP="000F099B">
            <w:pPr>
              <w:jc w:val="center"/>
              <w:rPr>
                <w:rFonts w:asciiTheme="majorHAnsi" w:eastAsia="Times New Roman" w:hAnsiTheme="majorHAnsi" w:cstheme="majorHAnsi"/>
                <w:b/>
                <w:bCs/>
                <w:sz w:val="16"/>
                <w:szCs w:val="16"/>
                <w:lang w:val="es-CO" w:eastAsia="es-CO"/>
              </w:rPr>
            </w:pPr>
            <w:r w:rsidRPr="00E512A8">
              <w:rPr>
                <w:rFonts w:asciiTheme="majorHAnsi" w:hAnsiTheme="majorHAnsi" w:cstheme="majorHAnsi"/>
                <w:b/>
                <w:bCs/>
                <w:sz w:val="16"/>
                <w:szCs w:val="16"/>
              </w:rPr>
              <w:t>NO</w:t>
            </w:r>
          </w:p>
        </w:tc>
        <w:tc>
          <w:tcPr>
            <w:tcW w:w="1276" w:type="dxa"/>
            <w:shd w:val="clear" w:color="000000" w:fill="FF0000"/>
            <w:vAlign w:val="center"/>
            <w:hideMark/>
          </w:tcPr>
          <w:p w14:paraId="123BA424" w14:textId="77777777" w:rsidR="004A6248" w:rsidRPr="00E512A8" w:rsidRDefault="004A6248" w:rsidP="000F099B">
            <w:pPr>
              <w:jc w:val="center"/>
              <w:rPr>
                <w:rFonts w:asciiTheme="majorHAnsi" w:eastAsia="Times New Roman" w:hAnsiTheme="majorHAnsi" w:cstheme="majorHAnsi"/>
                <w:sz w:val="16"/>
                <w:szCs w:val="16"/>
                <w:lang w:val="es-CO" w:eastAsia="es-CO"/>
              </w:rPr>
            </w:pPr>
            <w:r w:rsidRPr="00E512A8">
              <w:rPr>
                <w:rFonts w:asciiTheme="majorHAnsi" w:hAnsiTheme="majorHAnsi" w:cstheme="majorHAnsi"/>
                <w:sz w:val="16"/>
                <w:szCs w:val="16"/>
              </w:rPr>
              <w:t>Inexistente</w:t>
            </w:r>
          </w:p>
        </w:tc>
        <w:tc>
          <w:tcPr>
            <w:tcW w:w="851" w:type="dxa"/>
            <w:shd w:val="clear" w:color="auto" w:fill="auto"/>
            <w:vAlign w:val="center"/>
            <w:hideMark/>
          </w:tcPr>
          <w:p w14:paraId="1514C270" w14:textId="77777777" w:rsidR="004A6248" w:rsidRPr="00E512A8" w:rsidRDefault="004A6248" w:rsidP="000F099B">
            <w:pPr>
              <w:jc w:val="cente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0%</w:t>
            </w:r>
          </w:p>
        </w:tc>
        <w:tc>
          <w:tcPr>
            <w:tcW w:w="3827" w:type="dxa"/>
            <w:shd w:val="clear" w:color="auto" w:fill="auto"/>
            <w:vAlign w:val="center"/>
            <w:hideMark/>
          </w:tcPr>
          <w:p w14:paraId="5873EF7E" w14:textId="77777777" w:rsidR="004A6248" w:rsidRPr="00E512A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Definir procedimientos de control de cambios en sistemas</w:t>
            </w:r>
          </w:p>
        </w:tc>
        <w:tc>
          <w:tcPr>
            <w:tcW w:w="1843" w:type="dxa"/>
          </w:tcPr>
          <w:p w14:paraId="72B7A670" w14:textId="77777777" w:rsidR="004A6248" w:rsidRPr="00E512A8" w:rsidRDefault="004A6248" w:rsidP="000F099B">
            <w:pPr>
              <w:rPr>
                <w:rFonts w:asciiTheme="majorHAnsi" w:hAnsiTheme="majorHAnsi" w:cstheme="majorHAnsi"/>
                <w:color w:val="000000"/>
                <w:sz w:val="16"/>
                <w:szCs w:val="16"/>
              </w:rPr>
            </w:pPr>
          </w:p>
        </w:tc>
      </w:tr>
      <w:tr w:rsidR="004A6248" w:rsidRPr="00E512A8" w14:paraId="2FE95AF0" w14:textId="77777777" w:rsidTr="004A6248">
        <w:trPr>
          <w:trHeight w:val="20"/>
        </w:trPr>
        <w:tc>
          <w:tcPr>
            <w:tcW w:w="546" w:type="dxa"/>
            <w:shd w:val="clear" w:color="auto" w:fill="auto"/>
            <w:vAlign w:val="center"/>
            <w:hideMark/>
          </w:tcPr>
          <w:p w14:paraId="5FD7F85F"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14.2.5</w:t>
            </w:r>
          </w:p>
        </w:tc>
        <w:tc>
          <w:tcPr>
            <w:tcW w:w="1156" w:type="dxa"/>
            <w:shd w:val="clear" w:color="auto" w:fill="auto"/>
            <w:vAlign w:val="center"/>
            <w:hideMark/>
          </w:tcPr>
          <w:p w14:paraId="7B604D2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Principio de construcción de los sistemas seguros</w:t>
            </w:r>
          </w:p>
        </w:tc>
        <w:tc>
          <w:tcPr>
            <w:tcW w:w="2551" w:type="dxa"/>
            <w:shd w:val="clear" w:color="auto" w:fill="auto"/>
            <w:vAlign w:val="center"/>
            <w:hideMark/>
          </w:tcPr>
          <w:p w14:paraId="387C6F3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establecer, documentar y mantener principios para la construcción de sistemas seguros, y aplicarlos a cualquier actividad de implementación de sistemas de información.</w:t>
            </w:r>
          </w:p>
        </w:tc>
        <w:tc>
          <w:tcPr>
            <w:tcW w:w="826" w:type="dxa"/>
            <w:shd w:val="clear" w:color="000000" w:fill="008000"/>
            <w:vAlign w:val="center"/>
            <w:hideMark/>
          </w:tcPr>
          <w:p w14:paraId="18C364AE"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1AFA1691" w14:textId="77777777" w:rsidR="004A6248" w:rsidRPr="00E512A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 No existe política de desarrollo seguro.</w:t>
            </w:r>
          </w:p>
        </w:tc>
        <w:tc>
          <w:tcPr>
            <w:tcW w:w="1275" w:type="dxa"/>
            <w:shd w:val="clear" w:color="000000" w:fill="FF0000"/>
            <w:vAlign w:val="center"/>
            <w:hideMark/>
          </w:tcPr>
          <w:p w14:paraId="07408ABA" w14:textId="77777777" w:rsidR="004A6248" w:rsidRPr="00E512A8" w:rsidRDefault="004A6248" w:rsidP="000F099B">
            <w:pPr>
              <w:jc w:val="center"/>
              <w:rPr>
                <w:rFonts w:asciiTheme="majorHAnsi" w:eastAsia="Times New Roman" w:hAnsiTheme="majorHAnsi" w:cstheme="majorHAnsi"/>
                <w:b/>
                <w:bCs/>
                <w:sz w:val="16"/>
                <w:szCs w:val="16"/>
                <w:lang w:val="es-CO" w:eastAsia="es-CO"/>
              </w:rPr>
            </w:pPr>
            <w:r w:rsidRPr="00E512A8">
              <w:rPr>
                <w:rFonts w:asciiTheme="majorHAnsi" w:hAnsiTheme="majorHAnsi" w:cstheme="majorHAnsi"/>
                <w:b/>
                <w:bCs/>
                <w:sz w:val="16"/>
                <w:szCs w:val="16"/>
              </w:rPr>
              <w:t>NO</w:t>
            </w:r>
          </w:p>
        </w:tc>
        <w:tc>
          <w:tcPr>
            <w:tcW w:w="1276" w:type="dxa"/>
            <w:shd w:val="clear" w:color="000000" w:fill="FF0000"/>
            <w:vAlign w:val="center"/>
            <w:hideMark/>
          </w:tcPr>
          <w:p w14:paraId="5216B113" w14:textId="77777777" w:rsidR="004A6248" w:rsidRPr="00E512A8" w:rsidRDefault="004A6248" w:rsidP="000F099B">
            <w:pPr>
              <w:jc w:val="center"/>
              <w:rPr>
                <w:rFonts w:asciiTheme="majorHAnsi" w:eastAsia="Times New Roman" w:hAnsiTheme="majorHAnsi" w:cstheme="majorHAnsi"/>
                <w:sz w:val="16"/>
                <w:szCs w:val="16"/>
                <w:lang w:val="es-CO" w:eastAsia="es-CO"/>
              </w:rPr>
            </w:pPr>
            <w:r w:rsidRPr="00E512A8">
              <w:rPr>
                <w:rFonts w:asciiTheme="majorHAnsi" w:hAnsiTheme="majorHAnsi" w:cstheme="majorHAnsi"/>
                <w:sz w:val="16"/>
                <w:szCs w:val="16"/>
              </w:rPr>
              <w:t>Inexistente</w:t>
            </w:r>
          </w:p>
        </w:tc>
        <w:tc>
          <w:tcPr>
            <w:tcW w:w="851" w:type="dxa"/>
            <w:shd w:val="clear" w:color="auto" w:fill="auto"/>
            <w:vAlign w:val="center"/>
            <w:hideMark/>
          </w:tcPr>
          <w:p w14:paraId="4B9405E3" w14:textId="77777777" w:rsidR="004A6248" w:rsidRPr="00E512A8" w:rsidRDefault="004A6248" w:rsidP="000F099B">
            <w:pPr>
              <w:jc w:val="cente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0%</w:t>
            </w:r>
          </w:p>
        </w:tc>
        <w:tc>
          <w:tcPr>
            <w:tcW w:w="3827" w:type="dxa"/>
            <w:shd w:val="clear" w:color="auto" w:fill="auto"/>
            <w:vAlign w:val="center"/>
            <w:hideMark/>
          </w:tcPr>
          <w:p w14:paraId="08B2A318" w14:textId="77777777" w:rsidR="004A6248" w:rsidRPr="00E512A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Definir políticas de desarrollo seguro</w:t>
            </w:r>
          </w:p>
        </w:tc>
        <w:tc>
          <w:tcPr>
            <w:tcW w:w="1843" w:type="dxa"/>
          </w:tcPr>
          <w:p w14:paraId="48278A16" w14:textId="77777777" w:rsidR="004A6248" w:rsidRPr="00E512A8" w:rsidRDefault="004A6248" w:rsidP="000F099B">
            <w:pPr>
              <w:rPr>
                <w:rFonts w:asciiTheme="majorHAnsi" w:hAnsiTheme="majorHAnsi" w:cstheme="majorHAnsi"/>
                <w:color w:val="000000"/>
                <w:sz w:val="16"/>
                <w:szCs w:val="16"/>
              </w:rPr>
            </w:pPr>
          </w:p>
        </w:tc>
      </w:tr>
      <w:tr w:rsidR="004A6248" w:rsidRPr="00E512A8" w14:paraId="6F03D437" w14:textId="77777777" w:rsidTr="004A6248">
        <w:trPr>
          <w:trHeight w:val="20"/>
        </w:trPr>
        <w:tc>
          <w:tcPr>
            <w:tcW w:w="546" w:type="dxa"/>
            <w:shd w:val="clear" w:color="auto" w:fill="auto"/>
            <w:vAlign w:val="center"/>
            <w:hideMark/>
          </w:tcPr>
          <w:p w14:paraId="26528713"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14.2.6</w:t>
            </w:r>
          </w:p>
        </w:tc>
        <w:tc>
          <w:tcPr>
            <w:tcW w:w="1156" w:type="dxa"/>
            <w:shd w:val="clear" w:color="auto" w:fill="auto"/>
            <w:vAlign w:val="center"/>
            <w:hideMark/>
          </w:tcPr>
          <w:p w14:paraId="4714AE3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Ambiente de desarrollo seguro</w:t>
            </w:r>
          </w:p>
        </w:tc>
        <w:tc>
          <w:tcPr>
            <w:tcW w:w="2551" w:type="dxa"/>
            <w:shd w:val="clear" w:color="auto" w:fill="auto"/>
            <w:vAlign w:val="center"/>
            <w:hideMark/>
          </w:tcPr>
          <w:p w14:paraId="7F6CEE76"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Las organizaciones deben establecer y proteger adecuadamente los ambientes de desarrollo seguros para las tareas de desarrollo e integración de sistemas que comprendan todo el ciclo de vida de desarrollo de sistemas.</w:t>
            </w:r>
          </w:p>
        </w:tc>
        <w:tc>
          <w:tcPr>
            <w:tcW w:w="826" w:type="dxa"/>
            <w:shd w:val="clear" w:color="000000" w:fill="008000"/>
            <w:vAlign w:val="center"/>
            <w:hideMark/>
          </w:tcPr>
          <w:p w14:paraId="11052DB0"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0EB6867E" w14:textId="77777777" w:rsidR="004A6248" w:rsidRPr="00E512A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 xml:space="preserve">* Los ambientes de desarrollo están en los PC de los desarrolladores. No hay servidores como tal. </w:t>
            </w:r>
            <w:r w:rsidRPr="00E512A8">
              <w:rPr>
                <w:rFonts w:asciiTheme="majorHAnsi" w:hAnsiTheme="majorHAnsi" w:cstheme="majorHAnsi"/>
                <w:color w:val="000000"/>
                <w:sz w:val="16"/>
                <w:szCs w:val="16"/>
              </w:rPr>
              <w:br/>
              <w:t>* Existen servidores de pruebas.</w:t>
            </w:r>
          </w:p>
        </w:tc>
        <w:tc>
          <w:tcPr>
            <w:tcW w:w="1275" w:type="dxa"/>
            <w:shd w:val="clear" w:color="000000" w:fill="E26B0A"/>
            <w:vAlign w:val="center"/>
            <w:hideMark/>
          </w:tcPr>
          <w:p w14:paraId="0B52432E" w14:textId="77777777" w:rsidR="004A6248" w:rsidRPr="00E512A8" w:rsidRDefault="004A6248" w:rsidP="000F099B">
            <w:pPr>
              <w:jc w:val="center"/>
              <w:rPr>
                <w:rFonts w:asciiTheme="majorHAnsi" w:eastAsia="Times New Roman" w:hAnsiTheme="majorHAnsi" w:cstheme="majorHAnsi"/>
                <w:b/>
                <w:bCs/>
                <w:sz w:val="16"/>
                <w:szCs w:val="16"/>
                <w:lang w:val="es-CO" w:eastAsia="es-CO"/>
              </w:rPr>
            </w:pPr>
            <w:r w:rsidRPr="00E512A8">
              <w:rPr>
                <w:rFonts w:asciiTheme="majorHAnsi" w:hAnsiTheme="majorHAnsi" w:cstheme="majorHAnsi"/>
                <w:b/>
                <w:bCs/>
                <w:sz w:val="16"/>
                <w:szCs w:val="16"/>
              </w:rPr>
              <w:t>PARCIAL</w:t>
            </w:r>
          </w:p>
        </w:tc>
        <w:tc>
          <w:tcPr>
            <w:tcW w:w="1276" w:type="dxa"/>
            <w:shd w:val="clear" w:color="000000" w:fill="E26B0A"/>
            <w:vAlign w:val="center"/>
            <w:hideMark/>
          </w:tcPr>
          <w:p w14:paraId="6DE7E00C" w14:textId="77777777" w:rsidR="004A6248" w:rsidRPr="00E512A8" w:rsidRDefault="004A6248" w:rsidP="000F099B">
            <w:pPr>
              <w:jc w:val="center"/>
              <w:rPr>
                <w:rFonts w:asciiTheme="majorHAnsi" w:eastAsia="Times New Roman" w:hAnsiTheme="majorHAnsi" w:cstheme="majorHAnsi"/>
                <w:sz w:val="16"/>
                <w:szCs w:val="16"/>
                <w:lang w:val="es-CO" w:eastAsia="es-CO"/>
              </w:rPr>
            </w:pPr>
            <w:r w:rsidRPr="00E512A8">
              <w:rPr>
                <w:rFonts w:asciiTheme="majorHAnsi" w:hAnsiTheme="majorHAnsi" w:cstheme="majorHAnsi"/>
                <w:sz w:val="16"/>
                <w:szCs w:val="16"/>
              </w:rPr>
              <w:t>Inicial</w:t>
            </w:r>
          </w:p>
        </w:tc>
        <w:tc>
          <w:tcPr>
            <w:tcW w:w="851" w:type="dxa"/>
            <w:shd w:val="clear" w:color="auto" w:fill="auto"/>
            <w:vAlign w:val="center"/>
            <w:hideMark/>
          </w:tcPr>
          <w:p w14:paraId="738B303B" w14:textId="77777777" w:rsidR="004A6248" w:rsidRPr="00E512A8" w:rsidRDefault="004A6248" w:rsidP="000F099B">
            <w:pPr>
              <w:jc w:val="cente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20%</w:t>
            </w:r>
          </w:p>
        </w:tc>
        <w:tc>
          <w:tcPr>
            <w:tcW w:w="3827" w:type="dxa"/>
            <w:shd w:val="clear" w:color="auto" w:fill="auto"/>
            <w:vAlign w:val="center"/>
            <w:hideMark/>
          </w:tcPr>
          <w:p w14:paraId="3DC63BA6" w14:textId="77777777" w:rsidR="004A6248" w:rsidRPr="00E512A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Separar los ambientes de producción, pruebas y desarrollo tanto a nivel lógico como físico.</w:t>
            </w:r>
          </w:p>
        </w:tc>
        <w:tc>
          <w:tcPr>
            <w:tcW w:w="1843" w:type="dxa"/>
          </w:tcPr>
          <w:p w14:paraId="78EB1EA7" w14:textId="77777777" w:rsidR="004A6248" w:rsidRPr="00E512A8" w:rsidRDefault="004A6248" w:rsidP="000F099B">
            <w:pPr>
              <w:rPr>
                <w:rFonts w:asciiTheme="majorHAnsi" w:hAnsiTheme="majorHAnsi" w:cstheme="majorHAnsi"/>
                <w:color w:val="000000"/>
                <w:sz w:val="16"/>
                <w:szCs w:val="16"/>
              </w:rPr>
            </w:pPr>
          </w:p>
        </w:tc>
      </w:tr>
      <w:tr w:rsidR="004A6248" w:rsidRPr="00E512A8" w14:paraId="19C1C2ED" w14:textId="77777777" w:rsidTr="004A6248">
        <w:trPr>
          <w:trHeight w:val="20"/>
        </w:trPr>
        <w:tc>
          <w:tcPr>
            <w:tcW w:w="546" w:type="dxa"/>
            <w:shd w:val="clear" w:color="auto" w:fill="auto"/>
            <w:vAlign w:val="center"/>
            <w:hideMark/>
          </w:tcPr>
          <w:p w14:paraId="00F14363"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14.2.7</w:t>
            </w:r>
          </w:p>
        </w:tc>
        <w:tc>
          <w:tcPr>
            <w:tcW w:w="1156" w:type="dxa"/>
            <w:shd w:val="clear" w:color="auto" w:fill="auto"/>
            <w:vAlign w:val="center"/>
            <w:hideMark/>
          </w:tcPr>
          <w:p w14:paraId="42B2D4C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Desarrollo contratado externamente</w:t>
            </w:r>
          </w:p>
        </w:tc>
        <w:tc>
          <w:tcPr>
            <w:tcW w:w="2551" w:type="dxa"/>
            <w:shd w:val="clear" w:color="auto" w:fill="auto"/>
            <w:vAlign w:val="center"/>
            <w:hideMark/>
          </w:tcPr>
          <w:p w14:paraId="6198B4E6"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 organización debe supervisar y hacer seguimiento de la actividad de desarrollo de sistemas subcontratada.</w:t>
            </w:r>
          </w:p>
        </w:tc>
        <w:tc>
          <w:tcPr>
            <w:tcW w:w="826" w:type="dxa"/>
            <w:shd w:val="clear" w:color="000000" w:fill="008000"/>
            <w:vAlign w:val="center"/>
            <w:hideMark/>
          </w:tcPr>
          <w:p w14:paraId="3A60B71E"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2B5DD264" w14:textId="77777777" w:rsidR="004A6248" w:rsidRPr="00E512A8" w:rsidRDefault="004A6248" w:rsidP="000F099B">
            <w:pPr>
              <w:rPr>
                <w:rFonts w:asciiTheme="majorHAnsi" w:hAnsiTheme="majorHAnsi" w:cstheme="majorHAnsi"/>
                <w:color w:val="000000"/>
                <w:sz w:val="16"/>
                <w:szCs w:val="16"/>
              </w:rPr>
            </w:pPr>
            <w:r w:rsidRPr="00E512A8">
              <w:rPr>
                <w:rFonts w:asciiTheme="majorHAnsi" w:hAnsiTheme="majorHAnsi" w:cstheme="majorHAnsi"/>
                <w:color w:val="000000"/>
                <w:sz w:val="16"/>
                <w:szCs w:val="16"/>
              </w:rPr>
              <w:t>* Las direcciones contratan externamente desarrollos.</w:t>
            </w:r>
            <w:r w:rsidRPr="00E512A8">
              <w:rPr>
                <w:rFonts w:asciiTheme="majorHAnsi" w:hAnsiTheme="majorHAnsi" w:cstheme="majorHAnsi"/>
                <w:color w:val="000000"/>
                <w:sz w:val="16"/>
                <w:szCs w:val="16"/>
              </w:rPr>
              <w:br/>
              <w:t>* No hay una política de desarrollo con terceros.</w:t>
            </w:r>
            <w:r w:rsidRPr="00E512A8">
              <w:rPr>
                <w:rFonts w:asciiTheme="majorHAnsi" w:hAnsiTheme="majorHAnsi" w:cstheme="majorHAnsi"/>
                <w:color w:val="000000"/>
                <w:sz w:val="16"/>
                <w:szCs w:val="16"/>
              </w:rPr>
              <w:br/>
              <w:t>* Desde OTIC se les suministra la metodología de desarrollo para que la sigan.</w:t>
            </w:r>
          </w:p>
        </w:tc>
        <w:tc>
          <w:tcPr>
            <w:tcW w:w="1275" w:type="dxa"/>
            <w:shd w:val="clear" w:color="000000" w:fill="E26B0A"/>
            <w:vAlign w:val="center"/>
            <w:hideMark/>
          </w:tcPr>
          <w:p w14:paraId="495D0DA9" w14:textId="77777777" w:rsidR="004A6248" w:rsidRPr="00E512A8" w:rsidRDefault="004A6248" w:rsidP="000F099B">
            <w:pPr>
              <w:jc w:val="center"/>
              <w:rPr>
                <w:rFonts w:asciiTheme="majorHAnsi" w:eastAsia="Times New Roman" w:hAnsiTheme="majorHAnsi" w:cstheme="majorHAnsi"/>
                <w:b/>
                <w:bCs/>
                <w:sz w:val="16"/>
                <w:szCs w:val="16"/>
                <w:lang w:val="es-CO" w:eastAsia="es-CO"/>
              </w:rPr>
            </w:pPr>
            <w:r w:rsidRPr="00E512A8">
              <w:rPr>
                <w:rFonts w:asciiTheme="majorHAnsi" w:hAnsiTheme="majorHAnsi" w:cstheme="majorHAnsi"/>
                <w:b/>
                <w:bCs/>
                <w:sz w:val="16"/>
                <w:szCs w:val="16"/>
              </w:rPr>
              <w:t>PARCIAL</w:t>
            </w:r>
          </w:p>
        </w:tc>
        <w:tc>
          <w:tcPr>
            <w:tcW w:w="1276" w:type="dxa"/>
            <w:shd w:val="clear" w:color="000000" w:fill="E26B0A"/>
            <w:vAlign w:val="center"/>
            <w:hideMark/>
          </w:tcPr>
          <w:p w14:paraId="11E1E33D" w14:textId="77777777" w:rsidR="004A6248" w:rsidRPr="00E512A8" w:rsidRDefault="004A6248" w:rsidP="000F099B">
            <w:pPr>
              <w:jc w:val="center"/>
              <w:rPr>
                <w:rFonts w:asciiTheme="majorHAnsi" w:eastAsia="Times New Roman" w:hAnsiTheme="majorHAnsi" w:cstheme="majorHAnsi"/>
                <w:sz w:val="16"/>
                <w:szCs w:val="16"/>
                <w:lang w:val="es-CO" w:eastAsia="es-CO"/>
              </w:rPr>
            </w:pPr>
            <w:r w:rsidRPr="00E512A8">
              <w:rPr>
                <w:rFonts w:asciiTheme="majorHAnsi" w:hAnsiTheme="majorHAnsi" w:cstheme="majorHAnsi"/>
                <w:sz w:val="16"/>
                <w:szCs w:val="16"/>
              </w:rPr>
              <w:t>Inicial</w:t>
            </w:r>
          </w:p>
        </w:tc>
        <w:tc>
          <w:tcPr>
            <w:tcW w:w="851" w:type="dxa"/>
            <w:shd w:val="clear" w:color="auto" w:fill="auto"/>
            <w:vAlign w:val="center"/>
            <w:hideMark/>
          </w:tcPr>
          <w:p w14:paraId="21D762A5" w14:textId="77777777" w:rsidR="004A6248" w:rsidRPr="00E512A8" w:rsidRDefault="004A6248" w:rsidP="000F099B">
            <w:pPr>
              <w:jc w:val="cente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20%</w:t>
            </w:r>
          </w:p>
        </w:tc>
        <w:tc>
          <w:tcPr>
            <w:tcW w:w="3827" w:type="dxa"/>
            <w:shd w:val="clear" w:color="auto" w:fill="auto"/>
            <w:vAlign w:val="center"/>
            <w:hideMark/>
          </w:tcPr>
          <w:p w14:paraId="5EF0125B" w14:textId="77777777" w:rsidR="004A6248" w:rsidRPr="00E512A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Definir políticas para la supervisión y el seguimiento de los proveedores de tecnología</w:t>
            </w:r>
          </w:p>
        </w:tc>
        <w:tc>
          <w:tcPr>
            <w:tcW w:w="1843" w:type="dxa"/>
          </w:tcPr>
          <w:p w14:paraId="3AFD12A9" w14:textId="77777777" w:rsidR="004A6248" w:rsidRPr="00E512A8" w:rsidRDefault="004A6248" w:rsidP="000F099B">
            <w:pPr>
              <w:rPr>
                <w:rFonts w:asciiTheme="majorHAnsi" w:hAnsiTheme="majorHAnsi" w:cstheme="majorHAnsi"/>
                <w:color w:val="000000"/>
                <w:sz w:val="16"/>
                <w:szCs w:val="16"/>
              </w:rPr>
            </w:pPr>
          </w:p>
        </w:tc>
      </w:tr>
      <w:tr w:rsidR="004A6248" w:rsidRPr="00E512A8" w14:paraId="645C9084" w14:textId="77777777" w:rsidTr="004A6248">
        <w:trPr>
          <w:trHeight w:val="20"/>
        </w:trPr>
        <w:tc>
          <w:tcPr>
            <w:tcW w:w="546" w:type="dxa"/>
            <w:shd w:val="clear" w:color="auto" w:fill="auto"/>
            <w:vAlign w:val="center"/>
            <w:hideMark/>
          </w:tcPr>
          <w:p w14:paraId="395FB64B"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14.2.8</w:t>
            </w:r>
          </w:p>
        </w:tc>
        <w:tc>
          <w:tcPr>
            <w:tcW w:w="1156" w:type="dxa"/>
            <w:shd w:val="clear" w:color="auto" w:fill="auto"/>
            <w:vAlign w:val="center"/>
            <w:hideMark/>
          </w:tcPr>
          <w:p w14:paraId="27E13DE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Ensayos de seguridad de sistemas</w:t>
            </w:r>
          </w:p>
        </w:tc>
        <w:tc>
          <w:tcPr>
            <w:tcW w:w="2551" w:type="dxa"/>
            <w:shd w:val="clear" w:color="auto" w:fill="auto"/>
            <w:vAlign w:val="center"/>
            <w:hideMark/>
          </w:tcPr>
          <w:p w14:paraId="07118F6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Durante el desarrollo se deben llevar a cabo ensayos de funcionalidad de la seguridad.</w:t>
            </w:r>
          </w:p>
        </w:tc>
        <w:tc>
          <w:tcPr>
            <w:tcW w:w="826" w:type="dxa"/>
            <w:shd w:val="clear" w:color="000000" w:fill="008000"/>
            <w:vAlign w:val="center"/>
            <w:hideMark/>
          </w:tcPr>
          <w:p w14:paraId="47B7483F"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5D5B6CF4" w14:textId="77777777" w:rsidR="004A6248" w:rsidRPr="00E512A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No se hacen pruebas a los controles de seguridad.</w:t>
            </w:r>
          </w:p>
        </w:tc>
        <w:tc>
          <w:tcPr>
            <w:tcW w:w="1275" w:type="dxa"/>
            <w:shd w:val="clear" w:color="000000" w:fill="FF0000"/>
            <w:vAlign w:val="center"/>
            <w:hideMark/>
          </w:tcPr>
          <w:p w14:paraId="176FC534" w14:textId="77777777" w:rsidR="004A6248" w:rsidRPr="00E512A8" w:rsidRDefault="004A6248" w:rsidP="000F099B">
            <w:pPr>
              <w:jc w:val="center"/>
              <w:rPr>
                <w:rFonts w:asciiTheme="majorHAnsi" w:eastAsia="Times New Roman" w:hAnsiTheme="majorHAnsi" w:cstheme="majorHAnsi"/>
                <w:b/>
                <w:bCs/>
                <w:sz w:val="16"/>
                <w:szCs w:val="16"/>
                <w:lang w:val="es-CO" w:eastAsia="es-CO"/>
              </w:rPr>
            </w:pPr>
            <w:r w:rsidRPr="00E512A8">
              <w:rPr>
                <w:rFonts w:asciiTheme="majorHAnsi" w:hAnsiTheme="majorHAnsi" w:cstheme="majorHAnsi"/>
                <w:b/>
                <w:bCs/>
                <w:sz w:val="16"/>
                <w:szCs w:val="16"/>
              </w:rPr>
              <w:t>NO</w:t>
            </w:r>
          </w:p>
        </w:tc>
        <w:tc>
          <w:tcPr>
            <w:tcW w:w="1276" w:type="dxa"/>
            <w:shd w:val="clear" w:color="000000" w:fill="FF0000"/>
            <w:vAlign w:val="center"/>
            <w:hideMark/>
          </w:tcPr>
          <w:p w14:paraId="35ED1955" w14:textId="77777777" w:rsidR="004A6248" w:rsidRPr="00E512A8" w:rsidRDefault="004A6248" w:rsidP="000F099B">
            <w:pPr>
              <w:jc w:val="center"/>
              <w:rPr>
                <w:rFonts w:asciiTheme="majorHAnsi" w:eastAsia="Times New Roman" w:hAnsiTheme="majorHAnsi" w:cstheme="majorHAnsi"/>
                <w:sz w:val="16"/>
                <w:szCs w:val="16"/>
                <w:lang w:val="es-CO" w:eastAsia="es-CO"/>
              </w:rPr>
            </w:pPr>
            <w:r w:rsidRPr="00E512A8">
              <w:rPr>
                <w:rFonts w:asciiTheme="majorHAnsi" w:hAnsiTheme="majorHAnsi" w:cstheme="majorHAnsi"/>
                <w:sz w:val="16"/>
                <w:szCs w:val="16"/>
              </w:rPr>
              <w:t>Inexistente</w:t>
            </w:r>
          </w:p>
        </w:tc>
        <w:tc>
          <w:tcPr>
            <w:tcW w:w="851" w:type="dxa"/>
            <w:shd w:val="clear" w:color="auto" w:fill="auto"/>
            <w:vAlign w:val="center"/>
            <w:hideMark/>
          </w:tcPr>
          <w:p w14:paraId="63F1A99E" w14:textId="77777777" w:rsidR="004A6248" w:rsidRPr="00E512A8" w:rsidRDefault="004A6248" w:rsidP="000F099B">
            <w:pPr>
              <w:jc w:val="cente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0%</w:t>
            </w:r>
          </w:p>
        </w:tc>
        <w:tc>
          <w:tcPr>
            <w:tcW w:w="3827" w:type="dxa"/>
            <w:shd w:val="clear" w:color="auto" w:fill="auto"/>
            <w:vAlign w:val="center"/>
            <w:hideMark/>
          </w:tcPr>
          <w:p w14:paraId="49050723" w14:textId="77777777" w:rsidR="004A6248" w:rsidRPr="00E512A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Desarrollar políticas de seguridad de la información para la realización de pruebas y aceptación de los sistemas de información</w:t>
            </w:r>
          </w:p>
        </w:tc>
        <w:tc>
          <w:tcPr>
            <w:tcW w:w="1843" w:type="dxa"/>
          </w:tcPr>
          <w:p w14:paraId="60EFA367" w14:textId="77777777" w:rsidR="004A6248" w:rsidRPr="00E512A8" w:rsidRDefault="004A6248" w:rsidP="000F099B">
            <w:pPr>
              <w:rPr>
                <w:rFonts w:asciiTheme="majorHAnsi" w:hAnsiTheme="majorHAnsi" w:cstheme="majorHAnsi"/>
                <w:color w:val="000000"/>
                <w:sz w:val="16"/>
                <w:szCs w:val="16"/>
              </w:rPr>
            </w:pPr>
          </w:p>
        </w:tc>
      </w:tr>
      <w:tr w:rsidR="004A6248" w:rsidRPr="00E512A8" w14:paraId="2AD8E8E1" w14:textId="77777777" w:rsidTr="004A6248">
        <w:trPr>
          <w:trHeight w:val="20"/>
        </w:trPr>
        <w:tc>
          <w:tcPr>
            <w:tcW w:w="546" w:type="dxa"/>
            <w:shd w:val="clear" w:color="auto" w:fill="auto"/>
            <w:vAlign w:val="center"/>
            <w:hideMark/>
          </w:tcPr>
          <w:p w14:paraId="4E20F996"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14.2.9</w:t>
            </w:r>
          </w:p>
        </w:tc>
        <w:tc>
          <w:tcPr>
            <w:tcW w:w="1156" w:type="dxa"/>
            <w:shd w:val="clear" w:color="auto" w:fill="auto"/>
            <w:vAlign w:val="center"/>
            <w:hideMark/>
          </w:tcPr>
          <w:p w14:paraId="6213BCF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Ensayo de aceptación de </w:t>
            </w:r>
            <w:r w:rsidRPr="00795864">
              <w:rPr>
                <w:rFonts w:asciiTheme="majorHAnsi" w:eastAsia="Times New Roman" w:hAnsiTheme="majorHAnsi" w:cstheme="majorHAnsi"/>
                <w:color w:val="000000"/>
                <w:sz w:val="16"/>
                <w:szCs w:val="16"/>
                <w:lang w:val="es-CO" w:eastAsia="es-CO"/>
              </w:rPr>
              <w:lastRenderedPageBreak/>
              <w:t>sistemas</w:t>
            </w:r>
          </w:p>
        </w:tc>
        <w:tc>
          <w:tcPr>
            <w:tcW w:w="2551" w:type="dxa"/>
            <w:shd w:val="clear" w:color="auto" w:fill="auto"/>
            <w:vAlign w:val="center"/>
            <w:hideMark/>
          </w:tcPr>
          <w:p w14:paraId="2A4548E4"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lastRenderedPageBreak/>
              <w:t xml:space="preserve">Para los sistemas de información nuevos, actualizaciones y nuevas </w:t>
            </w:r>
            <w:r w:rsidRPr="00795864">
              <w:rPr>
                <w:rFonts w:asciiTheme="majorHAnsi" w:eastAsia="Times New Roman" w:hAnsiTheme="majorHAnsi" w:cstheme="majorHAnsi"/>
                <w:color w:val="000000"/>
                <w:sz w:val="16"/>
                <w:szCs w:val="16"/>
                <w:lang w:val="es-CO" w:eastAsia="es-CO"/>
              </w:rPr>
              <w:lastRenderedPageBreak/>
              <w:t>versiones, se deben establecer programas de ensayo y criterios relacionados.</w:t>
            </w:r>
          </w:p>
        </w:tc>
        <w:tc>
          <w:tcPr>
            <w:tcW w:w="826" w:type="dxa"/>
            <w:shd w:val="clear" w:color="000000" w:fill="008000"/>
            <w:vAlign w:val="center"/>
            <w:hideMark/>
          </w:tcPr>
          <w:p w14:paraId="3F0A21A7"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lastRenderedPageBreak/>
              <w:t>Aplica</w:t>
            </w:r>
          </w:p>
        </w:tc>
        <w:tc>
          <w:tcPr>
            <w:tcW w:w="3569" w:type="dxa"/>
            <w:shd w:val="clear" w:color="auto" w:fill="auto"/>
            <w:vAlign w:val="center"/>
            <w:hideMark/>
          </w:tcPr>
          <w:p w14:paraId="02B9E0CF" w14:textId="77777777" w:rsidR="004A6248" w:rsidRPr="00E512A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No se hacen pruebas a los controles de seguridad.</w:t>
            </w:r>
          </w:p>
        </w:tc>
        <w:tc>
          <w:tcPr>
            <w:tcW w:w="1275" w:type="dxa"/>
            <w:shd w:val="clear" w:color="000000" w:fill="FF0000"/>
            <w:vAlign w:val="center"/>
            <w:hideMark/>
          </w:tcPr>
          <w:p w14:paraId="2FF21036" w14:textId="77777777" w:rsidR="004A6248" w:rsidRPr="00E512A8" w:rsidRDefault="004A6248" w:rsidP="000F099B">
            <w:pPr>
              <w:jc w:val="center"/>
              <w:rPr>
                <w:rFonts w:asciiTheme="majorHAnsi" w:eastAsia="Times New Roman" w:hAnsiTheme="majorHAnsi" w:cstheme="majorHAnsi"/>
                <w:b/>
                <w:bCs/>
                <w:sz w:val="16"/>
                <w:szCs w:val="16"/>
                <w:lang w:val="es-CO" w:eastAsia="es-CO"/>
              </w:rPr>
            </w:pPr>
            <w:r w:rsidRPr="00E512A8">
              <w:rPr>
                <w:rFonts w:asciiTheme="majorHAnsi" w:hAnsiTheme="majorHAnsi" w:cstheme="majorHAnsi"/>
                <w:b/>
                <w:bCs/>
                <w:sz w:val="16"/>
                <w:szCs w:val="16"/>
              </w:rPr>
              <w:t>NO</w:t>
            </w:r>
          </w:p>
        </w:tc>
        <w:tc>
          <w:tcPr>
            <w:tcW w:w="1276" w:type="dxa"/>
            <w:shd w:val="clear" w:color="000000" w:fill="FF0000"/>
            <w:vAlign w:val="center"/>
            <w:hideMark/>
          </w:tcPr>
          <w:p w14:paraId="7464A522" w14:textId="77777777" w:rsidR="004A6248" w:rsidRPr="00E512A8" w:rsidRDefault="004A6248" w:rsidP="000F099B">
            <w:pPr>
              <w:jc w:val="center"/>
              <w:rPr>
                <w:rFonts w:asciiTheme="majorHAnsi" w:eastAsia="Times New Roman" w:hAnsiTheme="majorHAnsi" w:cstheme="majorHAnsi"/>
                <w:sz w:val="16"/>
                <w:szCs w:val="16"/>
                <w:lang w:val="es-CO" w:eastAsia="es-CO"/>
              </w:rPr>
            </w:pPr>
            <w:r w:rsidRPr="00E512A8">
              <w:rPr>
                <w:rFonts w:asciiTheme="majorHAnsi" w:hAnsiTheme="majorHAnsi" w:cstheme="majorHAnsi"/>
                <w:sz w:val="16"/>
                <w:szCs w:val="16"/>
              </w:rPr>
              <w:t>Inexistente</w:t>
            </w:r>
          </w:p>
        </w:tc>
        <w:tc>
          <w:tcPr>
            <w:tcW w:w="851" w:type="dxa"/>
            <w:shd w:val="clear" w:color="auto" w:fill="auto"/>
            <w:vAlign w:val="center"/>
            <w:hideMark/>
          </w:tcPr>
          <w:p w14:paraId="541FFF10" w14:textId="77777777" w:rsidR="004A6248" w:rsidRPr="00E512A8" w:rsidRDefault="004A6248" w:rsidP="000F099B">
            <w:pPr>
              <w:jc w:val="cente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0%</w:t>
            </w:r>
          </w:p>
        </w:tc>
        <w:tc>
          <w:tcPr>
            <w:tcW w:w="3827" w:type="dxa"/>
            <w:shd w:val="clear" w:color="auto" w:fill="auto"/>
            <w:vAlign w:val="center"/>
            <w:hideMark/>
          </w:tcPr>
          <w:p w14:paraId="6A88F070" w14:textId="77777777" w:rsidR="004A6248" w:rsidRPr="00E512A8" w:rsidRDefault="004A6248" w:rsidP="000F099B">
            <w:pPr>
              <w:rPr>
                <w:rFonts w:asciiTheme="majorHAnsi" w:eastAsia="Times New Roman" w:hAnsiTheme="majorHAnsi" w:cstheme="majorHAnsi"/>
                <w:color w:val="000000"/>
                <w:sz w:val="16"/>
                <w:szCs w:val="16"/>
                <w:lang w:val="es-CO" w:eastAsia="es-CO"/>
              </w:rPr>
            </w:pPr>
            <w:r w:rsidRPr="00E512A8">
              <w:rPr>
                <w:rFonts w:asciiTheme="majorHAnsi" w:hAnsiTheme="majorHAnsi" w:cstheme="majorHAnsi"/>
                <w:color w:val="000000"/>
                <w:sz w:val="16"/>
                <w:szCs w:val="16"/>
              </w:rPr>
              <w:t xml:space="preserve">Desarrollar políticas de seguridad de la información para la realización de pruebas y aceptación de los </w:t>
            </w:r>
            <w:r w:rsidRPr="00E512A8">
              <w:rPr>
                <w:rFonts w:asciiTheme="majorHAnsi" w:hAnsiTheme="majorHAnsi" w:cstheme="majorHAnsi"/>
                <w:color w:val="000000"/>
                <w:sz w:val="16"/>
                <w:szCs w:val="16"/>
              </w:rPr>
              <w:lastRenderedPageBreak/>
              <w:t>sistemas de información</w:t>
            </w:r>
          </w:p>
        </w:tc>
        <w:tc>
          <w:tcPr>
            <w:tcW w:w="1843" w:type="dxa"/>
          </w:tcPr>
          <w:p w14:paraId="227CDA8C" w14:textId="77777777" w:rsidR="004A6248" w:rsidRPr="00E512A8" w:rsidRDefault="004A6248" w:rsidP="000F099B">
            <w:pPr>
              <w:rPr>
                <w:rFonts w:asciiTheme="majorHAnsi" w:hAnsiTheme="majorHAnsi" w:cstheme="majorHAnsi"/>
                <w:color w:val="000000"/>
                <w:sz w:val="16"/>
                <w:szCs w:val="16"/>
              </w:rPr>
            </w:pPr>
          </w:p>
        </w:tc>
      </w:tr>
      <w:tr w:rsidR="004A6248" w:rsidRPr="00795864" w14:paraId="75327941" w14:textId="77777777" w:rsidTr="004A6248">
        <w:trPr>
          <w:trHeight w:val="20"/>
        </w:trPr>
        <w:tc>
          <w:tcPr>
            <w:tcW w:w="546" w:type="dxa"/>
            <w:shd w:val="clear" w:color="000000" w:fill="538DD5"/>
            <w:vAlign w:val="center"/>
            <w:hideMark/>
          </w:tcPr>
          <w:p w14:paraId="5E6AC62B"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14.3</w:t>
            </w:r>
          </w:p>
        </w:tc>
        <w:tc>
          <w:tcPr>
            <w:tcW w:w="10653" w:type="dxa"/>
            <w:gridSpan w:val="6"/>
            <w:shd w:val="clear" w:color="000000" w:fill="538DD5"/>
            <w:vAlign w:val="center"/>
            <w:hideMark/>
          </w:tcPr>
          <w:p w14:paraId="414155EF"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Datos de ensayo</w:t>
            </w:r>
          </w:p>
        </w:tc>
        <w:tc>
          <w:tcPr>
            <w:tcW w:w="851" w:type="dxa"/>
            <w:shd w:val="clear" w:color="000000" w:fill="538DD5"/>
            <w:vAlign w:val="center"/>
            <w:hideMark/>
          </w:tcPr>
          <w:p w14:paraId="028A8466"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0%</w:t>
            </w:r>
          </w:p>
        </w:tc>
        <w:tc>
          <w:tcPr>
            <w:tcW w:w="3827" w:type="dxa"/>
            <w:shd w:val="clear" w:color="000000" w:fill="538DD5"/>
            <w:vAlign w:val="center"/>
            <w:hideMark/>
          </w:tcPr>
          <w:p w14:paraId="1705F6FA"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5AE097F5"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52BA435B" w14:textId="77777777" w:rsidTr="004A6248">
        <w:trPr>
          <w:trHeight w:val="20"/>
        </w:trPr>
        <w:tc>
          <w:tcPr>
            <w:tcW w:w="546" w:type="dxa"/>
            <w:shd w:val="clear" w:color="000000" w:fill="538DD5"/>
            <w:vAlign w:val="center"/>
            <w:hideMark/>
          </w:tcPr>
          <w:p w14:paraId="2C6297FE"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5D6DBBF8"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Asegurar la protección de los datos usados para ensayos.</w:t>
            </w:r>
          </w:p>
        </w:tc>
        <w:tc>
          <w:tcPr>
            <w:tcW w:w="851" w:type="dxa"/>
            <w:shd w:val="clear" w:color="000000" w:fill="538DD5"/>
            <w:vAlign w:val="center"/>
            <w:hideMark/>
          </w:tcPr>
          <w:p w14:paraId="55D10AFC"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3827" w:type="dxa"/>
            <w:shd w:val="clear" w:color="000000" w:fill="538DD5"/>
            <w:vAlign w:val="center"/>
            <w:hideMark/>
          </w:tcPr>
          <w:p w14:paraId="4F9F42FB"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843" w:type="dxa"/>
            <w:shd w:val="clear" w:color="000000" w:fill="538DD5"/>
          </w:tcPr>
          <w:p w14:paraId="2BD9846E" w14:textId="77777777" w:rsidR="004A6248" w:rsidRPr="00795864" w:rsidRDefault="004A6248" w:rsidP="000F099B">
            <w:pPr>
              <w:rPr>
                <w:rFonts w:asciiTheme="majorHAnsi" w:eastAsia="Times New Roman" w:hAnsiTheme="majorHAnsi" w:cstheme="majorHAnsi"/>
                <w:color w:val="FFFFFF"/>
                <w:sz w:val="16"/>
                <w:szCs w:val="16"/>
                <w:lang w:val="es-CO" w:eastAsia="es-CO"/>
              </w:rPr>
            </w:pPr>
          </w:p>
        </w:tc>
      </w:tr>
      <w:tr w:rsidR="004A6248" w:rsidRPr="00795864" w14:paraId="75FE73D7" w14:textId="77777777" w:rsidTr="004A6248">
        <w:trPr>
          <w:trHeight w:val="877"/>
        </w:trPr>
        <w:tc>
          <w:tcPr>
            <w:tcW w:w="546" w:type="dxa"/>
            <w:shd w:val="clear" w:color="auto" w:fill="auto"/>
            <w:vAlign w:val="center"/>
            <w:hideMark/>
          </w:tcPr>
          <w:p w14:paraId="4EB6DA44"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14.3.1</w:t>
            </w:r>
          </w:p>
        </w:tc>
        <w:tc>
          <w:tcPr>
            <w:tcW w:w="1156" w:type="dxa"/>
            <w:shd w:val="clear" w:color="auto" w:fill="auto"/>
            <w:vAlign w:val="center"/>
            <w:hideMark/>
          </w:tcPr>
          <w:p w14:paraId="57E0453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Protección de los datos de ensayo</w:t>
            </w:r>
          </w:p>
        </w:tc>
        <w:tc>
          <w:tcPr>
            <w:tcW w:w="2551" w:type="dxa"/>
            <w:shd w:val="clear" w:color="auto" w:fill="auto"/>
            <w:vAlign w:val="center"/>
            <w:hideMark/>
          </w:tcPr>
          <w:p w14:paraId="51CCE32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datos de ensayo se deben seleccionar cuidadosamente, proteger y controlar.</w:t>
            </w:r>
          </w:p>
        </w:tc>
        <w:tc>
          <w:tcPr>
            <w:tcW w:w="826" w:type="dxa"/>
            <w:shd w:val="clear" w:color="000000" w:fill="008000"/>
            <w:vAlign w:val="center"/>
            <w:hideMark/>
          </w:tcPr>
          <w:p w14:paraId="3C33B054" w14:textId="77777777" w:rsidR="004A6248" w:rsidRPr="00226076" w:rsidRDefault="004A6248" w:rsidP="000F099B">
            <w:pPr>
              <w:jc w:val="center"/>
              <w:rPr>
                <w:rFonts w:asciiTheme="majorHAnsi" w:eastAsia="Times New Roman" w:hAnsiTheme="majorHAnsi" w:cstheme="majorHAnsi"/>
                <w:b/>
                <w:bCs/>
                <w:color w:val="FFFFFF"/>
                <w:sz w:val="16"/>
                <w:szCs w:val="16"/>
                <w:lang w:val="es-CO" w:eastAsia="es-CO"/>
              </w:rPr>
            </w:pPr>
            <w:r w:rsidRPr="00226076">
              <w:rPr>
                <w:rFonts w:asciiTheme="majorHAnsi" w:hAnsiTheme="majorHAnsi" w:cstheme="majorHAnsi"/>
                <w:b/>
                <w:bCs/>
                <w:color w:val="FFFFFF"/>
                <w:sz w:val="16"/>
                <w:szCs w:val="16"/>
              </w:rPr>
              <w:t>Aplica</w:t>
            </w:r>
          </w:p>
        </w:tc>
        <w:tc>
          <w:tcPr>
            <w:tcW w:w="3569" w:type="dxa"/>
            <w:shd w:val="clear" w:color="auto" w:fill="auto"/>
            <w:vAlign w:val="center"/>
            <w:hideMark/>
          </w:tcPr>
          <w:p w14:paraId="260059D6" w14:textId="77777777" w:rsidR="004A6248" w:rsidRPr="00226076" w:rsidRDefault="004A6248" w:rsidP="000F099B">
            <w:pPr>
              <w:rPr>
                <w:rFonts w:asciiTheme="majorHAnsi" w:eastAsia="Times New Roman" w:hAnsiTheme="majorHAnsi" w:cstheme="majorHAnsi"/>
                <w:color w:val="000000"/>
                <w:sz w:val="16"/>
                <w:szCs w:val="16"/>
                <w:lang w:val="es-CO" w:eastAsia="es-CO"/>
              </w:rPr>
            </w:pPr>
            <w:r w:rsidRPr="00226076">
              <w:rPr>
                <w:rFonts w:asciiTheme="majorHAnsi" w:hAnsiTheme="majorHAnsi" w:cstheme="majorHAnsi"/>
                <w:color w:val="000000"/>
                <w:sz w:val="16"/>
                <w:szCs w:val="16"/>
              </w:rPr>
              <w:t>No se cuenta con un procedimiento de enmascaramiento o anonimización de datos.</w:t>
            </w:r>
          </w:p>
        </w:tc>
        <w:tc>
          <w:tcPr>
            <w:tcW w:w="1275" w:type="dxa"/>
            <w:shd w:val="clear" w:color="000000" w:fill="FF0000"/>
            <w:vAlign w:val="center"/>
            <w:hideMark/>
          </w:tcPr>
          <w:p w14:paraId="76833FFB" w14:textId="77777777" w:rsidR="004A6248" w:rsidRPr="00226076" w:rsidRDefault="004A6248" w:rsidP="000F099B">
            <w:pPr>
              <w:jc w:val="center"/>
              <w:rPr>
                <w:rFonts w:asciiTheme="majorHAnsi" w:eastAsia="Times New Roman" w:hAnsiTheme="majorHAnsi" w:cstheme="majorHAnsi"/>
                <w:b/>
                <w:bCs/>
                <w:sz w:val="16"/>
                <w:szCs w:val="16"/>
                <w:lang w:val="es-CO" w:eastAsia="es-CO"/>
              </w:rPr>
            </w:pPr>
            <w:r w:rsidRPr="00226076">
              <w:rPr>
                <w:rFonts w:asciiTheme="majorHAnsi" w:hAnsiTheme="majorHAnsi" w:cstheme="majorHAnsi"/>
                <w:b/>
                <w:bCs/>
                <w:sz w:val="16"/>
                <w:szCs w:val="16"/>
              </w:rPr>
              <w:t>NO</w:t>
            </w:r>
          </w:p>
        </w:tc>
        <w:tc>
          <w:tcPr>
            <w:tcW w:w="1276" w:type="dxa"/>
            <w:shd w:val="clear" w:color="000000" w:fill="FF0000"/>
            <w:vAlign w:val="center"/>
            <w:hideMark/>
          </w:tcPr>
          <w:p w14:paraId="243A66D6" w14:textId="77777777" w:rsidR="004A6248" w:rsidRPr="00226076" w:rsidRDefault="004A6248" w:rsidP="000F099B">
            <w:pPr>
              <w:jc w:val="center"/>
              <w:rPr>
                <w:rFonts w:asciiTheme="majorHAnsi" w:eastAsia="Times New Roman" w:hAnsiTheme="majorHAnsi" w:cstheme="majorHAnsi"/>
                <w:sz w:val="16"/>
                <w:szCs w:val="16"/>
                <w:lang w:val="es-CO" w:eastAsia="es-CO"/>
              </w:rPr>
            </w:pPr>
            <w:r w:rsidRPr="00226076">
              <w:rPr>
                <w:rFonts w:asciiTheme="majorHAnsi" w:hAnsiTheme="majorHAnsi" w:cstheme="majorHAnsi"/>
                <w:sz w:val="16"/>
                <w:szCs w:val="16"/>
              </w:rPr>
              <w:t>Inexistente</w:t>
            </w:r>
          </w:p>
        </w:tc>
        <w:tc>
          <w:tcPr>
            <w:tcW w:w="851" w:type="dxa"/>
            <w:shd w:val="clear" w:color="auto" w:fill="auto"/>
            <w:vAlign w:val="center"/>
            <w:hideMark/>
          </w:tcPr>
          <w:p w14:paraId="6F87F3E2" w14:textId="77777777" w:rsidR="004A6248" w:rsidRPr="00226076" w:rsidRDefault="004A6248" w:rsidP="000F099B">
            <w:pPr>
              <w:jc w:val="center"/>
              <w:rPr>
                <w:rFonts w:asciiTheme="majorHAnsi" w:eastAsia="Times New Roman" w:hAnsiTheme="majorHAnsi" w:cstheme="majorHAnsi"/>
                <w:color w:val="000000"/>
                <w:sz w:val="16"/>
                <w:szCs w:val="16"/>
                <w:lang w:val="es-CO" w:eastAsia="es-CO"/>
              </w:rPr>
            </w:pPr>
            <w:r w:rsidRPr="00226076">
              <w:rPr>
                <w:rFonts w:asciiTheme="majorHAnsi" w:hAnsiTheme="majorHAnsi" w:cstheme="majorHAnsi"/>
                <w:color w:val="000000"/>
                <w:sz w:val="16"/>
                <w:szCs w:val="16"/>
              </w:rPr>
              <w:t>0%</w:t>
            </w:r>
          </w:p>
        </w:tc>
        <w:tc>
          <w:tcPr>
            <w:tcW w:w="3827" w:type="dxa"/>
            <w:shd w:val="clear" w:color="auto" w:fill="auto"/>
            <w:vAlign w:val="center"/>
            <w:hideMark/>
          </w:tcPr>
          <w:p w14:paraId="4DA424A1" w14:textId="77777777" w:rsidR="004A6248" w:rsidRPr="00226076" w:rsidRDefault="004A6248" w:rsidP="000F099B">
            <w:pPr>
              <w:rPr>
                <w:rFonts w:asciiTheme="majorHAnsi" w:eastAsia="Times New Roman" w:hAnsiTheme="majorHAnsi" w:cstheme="majorHAnsi"/>
                <w:color w:val="000000"/>
                <w:sz w:val="16"/>
                <w:szCs w:val="16"/>
                <w:lang w:val="es-CO" w:eastAsia="es-CO"/>
              </w:rPr>
            </w:pPr>
            <w:r w:rsidRPr="00226076">
              <w:rPr>
                <w:rFonts w:asciiTheme="majorHAnsi" w:hAnsiTheme="majorHAnsi" w:cstheme="majorHAnsi"/>
                <w:color w:val="000000"/>
                <w:sz w:val="16"/>
                <w:szCs w:val="16"/>
              </w:rPr>
              <w:t>Anonimizar los datos de prueba</w:t>
            </w:r>
          </w:p>
        </w:tc>
        <w:tc>
          <w:tcPr>
            <w:tcW w:w="1843" w:type="dxa"/>
          </w:tcPr>
          <w:p w14:paraId="2D1E1453" w14:textId="77777777" w:rsidR="004A6248" w:rsidRPr="00226076" w:rsidRDefault="004A6248" w:rsidP="000F099B">
            <w:pPr>
              <w:rPr>
                <w:rFonts w:asciiTheme="majorHAnsi" w:hAnsiTheme="majorHAnsi" w:cstheme="majorHAnsi"/>
                <w:color w:val="000000"/>
                <w:sz w:val="16"/>
                <w:szCs w:val="16"/>
              </w:rPr>
            </w:pPr>
          </w:p>
        </w:tc>
      </w:tr>
      <w:tr w:rsidR="004A6248" w:rsidRPr="00795864" w14:paraId="6D5D0762" w14:textId="77777777" w:rsidTr="004A6248">
        <w:trPr>
          <w:trHeight w:val="20"/>
        </w:trPr>
        <w:tc>
          <w:tcPr>
            <w:tcW w:w="546" w:type="dxa"/>
            <w:shd w:val="clear" w:color="000000" w:fill="1F497D"/>
            <w:vAlign w:val="center"/>
            <w:hideMark/>
          </w:tcPr>
          <w:p w14:paraId="3DAEE815"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15</w:t>
            </w:r>
          </w:p>
        </w:tc>
        <w:tc>
          <w:tcPr>
            <w:tcW w:w="10653" w:type="dxa"/>
            <w:gridSpan w:val="6"/>
            <w:shd w:val="clear" w:color="000000" w:fill="1F497D"/>
            <w:vAlign w:val="center"/>
            <w:hideMark/>
          </w:tcPr>
          <w:p w14:paraId="7A0A3389"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RELACIONES CON LOS PROVEEDORES</w:t>
            </w:r>
          </w:p>
        </w:tc>
        <w:tc>
          <w:tcPr>
            <w:tcW w:w="851" w:type="dxa"/>
            <w:shd w:val="clear" w:color="000000" w:fill="1F497D"/>
            <w:vAlign w:val="center"/>
            <w:hideMark/>
          </w:tcPr>
          <w:p w14:paraId="7467FAAA"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38%</w:t>
            </w:r>
          </w:p>
        </w:tc>
        <w:tc>
          <w:tcPr>
            <w:tcW w:w="3827" w:type="dxa"/>
            <w:shd w:val="clear" w:color="000000" w:fill="1F497D"/>
            <w:vAlign w:val="center"/>
            <w:hideMark/>
          </w:tcPr>
          <w:p w14:paraId="54083B2D"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1F497D"/>
          </w:tcPr>
          <w:p w14:paraId="5AD30B15"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7A478BB6" w14:textId="77777777" w:rsidTr="004A6248">
        <w:trPr>
          <w:trHeight w:val="20"/>
        </w:trPr>
        <w:tc>
          <w:tcPr>
            <w:tcW w:w="546" w:type="dxa"/>
            <w:shd w:val="clear" w:color="000000" w:fill="538DD5"/>
            <w:vAlign w:val="center"/>
            <w:hideMark/>
          </w:tcPr>
          <w:p w14:paraId="24F123E1"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15.1</w:t>
            </w:r>
          </w:p>
        </w:tc>
        <w:tc>
          <w:tcPr>
            <w:tcW w:w="10653" w:type="dxa"/>
            <w:gridSpan w:val="6"/>
            <w:shd w:val="clear" w:color="000000" w:fill="538DD5"/>
            <w:vAlign w:val="center"/>
            <w:hideMark/>
          </w:tcPr>
          <w:p w14:paraId="51FA2A2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Seguridad de la información en las relaciones con los proveedores</w:t>
            </w:r>
          </w:p>
        </w:tc>
        <w:tc>
          <w:tcPr>
            <w:tcW w:w="851" w:type="dxa"/>
            <w:shd w:val="clear" w:color="000000" w:fill="538DD5"/>
            <w:vAlign w:val="center"/>
            <w:hideMark/>
          </w:tcPr>
          <w:p w14:paraId="05301BF3"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7%</w:t>
            </w:r>
          </w:p>
        </w:tc>
        <w:tc>
          <w:tcPr>
            <w:tcW w:w="3827" w:type="dxa"/>
            <w:shd w:val="clear" w:color="000000" w:fill="538DD5"/>
            <w:vAlign w:val="center"/>
            <w:hideMark/>
          </w:tcPr>
          <w:p w14:paraId="21ACDD7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7FB9142A"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16A77D53" w14:textId="77777777" w:rsidTr="004A6248">
        <w:trPr>
          <w:trHeight w:val="20"/>
        </w:trPr>
        <w:tc>
          <w:tcPr>
            <w:tcW w:w="546" w:type="dxa"/>
            <w:shd w:val="clear" w:color="000000" w:fill="538DD5"/>
            <w:vAlign w:val="center"/>
            <w:hideMark/>
          </w:tcPr>
          <w:p w14:paraId="25C7BA15"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7A3A7FEE"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Asegurar la protección de los activos de la organización que sean accesibles a los proveedores.</w:t>
            </w:r>
          </w:p>
        </w:tc>
        <w:tc>
          <w:tcPr>
            <w:tcW w:w="851" w:type="dxa"/>
            <w:shd w:val="clear" w:color="000000" w:fill="538DD5"/>
            <w:vAlign w:val="center"/>
            <w:hideMark/>
          </w:tcPr>
          <w:p w14:paraId="314AD887"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3827" w:type="dxa"/>
            <w:shd w:val="clear" w:color="000000" w:fill="538DD5"/>
            <w:vAlign w:val="center"/>
            <w:hideMark/>
          </w:tcPr>
          <w:p w14:paraId="1F6191AE"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843" w:type="dxa"/>
            <w:shd w:val="clear" w:color="000000" w:fill="538DD5"/>
          </w:tcPr>
          <w:p w14:paraId="7D1E837E" w14:textId="77777777" w:rsidR="004A6248" w:rsidRPr="00795864" w:rsidRDefault="004A6248" w:rsidP="000F099B">
            <w:pPr>
              <w:rPr>
                <w:rFonts w:asciiTheme="majorHAnsi" w:eastAsia="Times New Roman" w:hAnsiTheme="majorHAnsi" w:cstheme="majorHAnsi"/>
                <w:color w:val="FFFFFF"/>
                <w:sz w:val="16"/>
                <w:szCs w:val="16"/>
                <w:lang w:val="es-CO" w:eastAsia="es-CO"/>
              </w:rPr>
            </w:pPr>
          </w:p>
        </w:tc>
      </w:tr>
      <w:tr w:rsidR="004A6248" w:rsidRPr="00795864" w14:paraId="275482E5" w14:textId="77777777" w:rsidTr="004A6248">
        <w:trPr>
          <w:trHeight w:val="20"/>
        </w:trPr>
        <w:tc>
          <w:tcPr>
            <w:tcW w:w="546" w:type="dxa"/>
            <w:shd w:val="clear" w:color="auto" w:fill="auto"/>
            <w:vAlign w:val="center"/>
            <w:hideMark/>
          </w:tcPr>
          <w:p w14:paraId="327F9911"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15.1.1</w:t>
            </w:r>
          </w:p>
        </w:tc>
        <w:tc>
          <w:tcPr>
            <w:tcW w:w="1156" w:type="dxa"/>
            <w:shd w:val="clear" w:color="auto" w:fill="auto"/>
            <w:vAlign w:val="center"/>
            <w:hideMark/>
          </w:tcPr>
          <w:p w14:paraId="641FF8B1"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Política de seguridad de la información para las relaciones con proveedores</w:t>
            </w:r>
          </w:p>
        </w:tc>
        <w:tc>
          <w:tcPr>
            <w:tcW w:w="2551" w:type="dxa"/>
            <w:shd w:val="clear" w:color="auto" w:fill="auto"/>
            <w:vAlign w:val="center"/>
            <w:hideMark/>
          </w:tcPr>
          <w:p w14:paraId="39947E23"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requisitos de seguridad de la información para mitigar los riesgos asociados con el acceso de proveedores a los activos de la organización se deben acordar con éstos y se deben documentar.</w:t>
            </w:r>
          </w:p>
        </w:tc>
        <w:tc>
          <w:tcPr>
            <w:tcW w:w="826" w:type="dxa"/>
            <w:shd w:val="clear" w:color="000000" w:fill="008000"/>
            <w:vAlign w:val="center"/>
            <w:hideMark/>
          </w:tcPr>
          <w:p w14:paraId="10B7C468"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74F68C64"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No se cuenta con una política de seguridad de la información para las relaciones con los proveedores</w:t>
            </w:r>
          </w:p>
        </w:tc>
        <w:tc>
          <w:tcPr>
            <w:tcW w:w="1275" w:type="dxa"/>
            <w:shd w:val="clear" w:color="000000" w:fill="E26B0A"/>
            <w:vAlign w:val="center"/>
            <w:hideMark/>
          </w:tcPr>
          <w:p w14:paraId="3174C487"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E26B0A"/>
            <w:vAlign w:val="center"/>
            <w:hideMark/>
          </w:tcPr>
          <w:p w14:paraId="67A42D9B"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Inicial</w:t>
            </w:r>
          </w:p>
        </w:tc>
        <w:tc>
          <w:tcPr>
            <w:tcW w:w="851" w:type="dxa"/>
            <w:shd w:val="clear" w:color="auto" w:fill="auto"/>
            <w:vAlign w:val="center"/>
            <w:hideMark/>
          </w:tcPr>
          <w:p w14:paraId="207686DA"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20%</w:t>
            </w:r>
          </w:p>
        </w:tc>
        <w:tc>
          <w:tcPr>
            <w:tcW w:w="3827" w:type="dxa"/>
            <w:shd w:val="clear" w:color="auto" w:fill="auto"/>
            <w:vAlign w:val="center"/>
            <w:hideMark/>
          </w:tcPr>
          <w:p w14:paraId="7E20101D"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Desarrollar políticas de seguridad de la información para las relaciones con proveedores</w:t>
            </w:r>
          </w:p>
        </w:tc>
        <w:tc>
          <w:tcPr>
            <w:tcW w:w="1843" w:type="dxa"/>
          </w:tcPr>
          <w:p w14:paraId="2F172E35"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4C07493B" w14:textId="77777777" w:rsidTr="004A6248">
        <w:trPr>
          <w:trHeight w:val="20"/>
        </w:trPr>
        <w:tc>
          <w:tcPr>
            <w:tcW w:w="546" w:type="dxa"/>
            <w:shd w:val="clear" w:color="auto" w:fill="auto"/>
            <w:vAlign w:val="center"/>
            <w:hideMark/>
          </w:tcPr>
          <w:p w14:paraId="702E4449"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15.1.2</w:t>
            </w:r>
          </w:p>
        </w:tc>
        <w:tc>
          <w:tcPr>
            <w:tcW w:w="1156" w:type="dxa"/>
            <w:shd w:val="clear" w:color="auto" w:fill="auto"/>
            <w:vAlign w:val="center"/>
            <w:hideMark/>
          </w:tcPr>
          <w:p w14:paraId="39FE8E1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Tratamiento de la seguridad dentro de los acuerdos con proveedores</w:t>
            </w:r>
          </w:p>
        </w:tc>
        <w:tc>
          <w:tcPr>
            <w:tcW w:w="2551" w:type="dxa"/>
            <w:shd w:val="clear" w:color="auto" w:fill="auto"/>
            <w:vAlign w:val="center"/>
            <w:hideMark/>
          </w:tcPr>
          <w:p w14:paraId="759E060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establecer y acordar todos los requisitos de seguridad de la información pertinentes con cada proveedor que pueda tener acceso, procesar, almacenar, comunicar o suministrar componentes de infraestructura de TI para la información de la organización.</w:t>
            </w:r>
          </w:p>
        </w:tc>
        <w:tc>
          <w:tcPr>
            <w:tcW w:w="826" w:type="dxa"/>
            <w:shd w:val="clear" w:color="000000" w:fill="008000"/>
            <w:vAlign w:val="center"/>
            <w:hideMark/>
          </w:tcPr>
          <w:p w14:paraId="4A596C05"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6391C7D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 política de seguridad actualmente se encuentra publicada en la Intranet y no en un lugar de fácil acceso para proveedores.</w:t>
            </w:r>
          </w:p>
        </w:tc>
        <w:tc>
          <w:tcPr>
            <w:tcW w:w="1275" w:type="dxa"/>
            <w:shd w:val="clear" w:color="000000" w:fill="FF0000"/>
            <w:vAlign w:val="center"/>
            <w:hideMark/>
          </w:tcPr>
          <w:p w14:paraId="6AAD777F"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NO</w:t>
            </w:r>
          </w:p>
        </w:tc>
        <w:tc>
          <w:tcPr>
            <w:tcW w:w="1276" w:type="dxa"/>
            <w:shd w:val="clear" w:color="000000" w:fill="FF0000"/>
            <w:vAlign w:val="center"/>
            <w:hideMark/>
          </w:tcPr>
          <w:p w14:paraId="1BCE39E7"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Inexistente</w:t>
            </w:r>
          </w:p>
        </w:tc>
        <w:tc>
          <w:tcPr>
            <w:tcW w:w="851" w:type="dxa"/>
            <w:shd w:val="clear" w:color="auto" w:fill="auto"/>
            <w:vAlign w:val="center"/>
            <w:hideMark/>
          </w:tcPr>
          <w:p w14:paraId="51900292"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0%</w:t>
            </w:r>
          </w:p>
        </w:tc>
        <w:tc>
          <w:tcPr>
            <w:tcW w:w="3827" w:type="dxa"/>
            <w:shd w:val="clear" w:color="auto" w:fill="auto"/>
            <w:vAlign w:val="center"/>
            <w:hideMark/>
          </w:tcPr>
          <w:p w14:paraId="1CBF88F6"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Desarrollar políticas de seguridad de la información para las relaciones con proveedores</w:t>
            </w:r>
          </w:p>
        </w:tc>
        <w:tc>
          <w:tcPr>
            <w:tcW w:w="1843" w:type="dxa"/>
          </w:tcPr>
          <w:p w14:paraId="7AF60ABF"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472B9573" w14:textId="77777777" w:rsidTr="004A6248">
        <w:trPr>
          <w:trHeight w:val="20"/>
        </w:trPr>
        <w:tc>
          <w:tcPr>
            <w:tcW w:w="546" w:type="dxa"/>
            <w:shd w:val="clear" w:color="auto" w:fill="auto"/>
            <w:vAlign w:val="center"/>
            <w:hideMark/>
          </w:tcPr>
          <w:p w14:paraId="4E914269"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15.1.3</w:t>
            </w:r>
          </w:p>
        </w:tc>
        <w:tc>
          <w:tcPr>
            <w:tcW w:w="1156" w:type="dxa"/>
            <w:shd w:val="clear" w:color="auto" w:fill="auto"/>
            <w:vAlign w:val="center"/>
            <w:hideMark/>
          </w:tcPr>
          <w:p w14:paraId="35AD982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Cadena de suministro de tecnología de información y comunicación</w:t>
            </w:r>
          </w:p>
        </w:tc>
        <w:tc>
          <w:tcPr>
            <w:tcW w:w="2551" w:type="dxa"/>
            <w:shd w:val="clear" w:color="auto" w:fill="auto"/>
            <w:vAlign w:val="center"/>
            <w:hideMark/>
          </w:tcPr>
          <w:p w14:paraId="5FB2DA1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acuerdos con proveedores deben incluir requisitos para tratar los riesgos de seguridad de la información asociados con la cadena de suministro de productos y servicios de tecnologías de información y las comunicaciones.</w:t>
            </w:r>
          </w:p>
        </w:tc>
        <w:tc>
          <w:tcPr>
            <w:tcW w:w="826" w:type="dxa"/>
            <w:shd w:val="clear" w:color="000000" w:fill="008000"/>
            <w:vAlign w:val="center"/>
            <w:hideMark/>
          </w:tcPr>
          <w:p w14:paraId="6B66BBD0"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5F40119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No se tiene acuerdos con proveedores para tratar los riesgos de seguridad de la información asociados a los servicios contratados</w:t>
            </w:r>
          </w:p>
        </w:tc>
        <w:tc>
          <w:tcPr>
            <w:tcW w:w="1275" w:type="dxa"/>
            <w:shd w:val="clear" w:color="000000" w:fill="FF0000"/>
            <w:vAlign w:val="center"/>
            <w:hideMark/>
          </w:tcPr>
          <w:p w14:paraId="37F0F2BA"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NO</w:t>
            </w:r>
          </w:p>
        </w:tc>
        <w:tc>
          <w:tcPr>
            <w:tcW w:w="1276" w:type="dxa"/>
            <w:shd w:val="clear" w:color="000000" w:fill="FF0000"/>
            <w:vAlign w:val="center"/>
            <w:hideMark/>
          </w:tcPr>
          <w:p w14:paraId="319CADFA"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Inexistente</w:t>
            </w:r>
          </w:p>
        </w:tc>
        <w:tc>
          <w:tcPr>
            <w:tcW w:w="851" w:type="dxa"/>
            <w:shd w:val="clear" w:color="auto" w:fill="auto"/>
            <w:vAlign w:val="center"/>
            <w:hideMark/>
          </w:tcPr>
          <w:p w14:paraId="62CB1294"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0%</w:t>
            </w:r>
          </w:p>
        </w:tc>
        <w:tc>
          <w:tcPr>
            <w:tcW w:w="3827" w:type="dxa"/>
            <w:shd w:val="clear" w:color="auto" w:fill="auto"/>
            <w:vAlign w:val="center"/>
            <w:hideMark/>
          </w:tcPr>
          <w:p w14:paraId="2394B1E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Desarrollar políticas de seguridad de la información para las relaciones con proveedores</w:t>
            </w:r>
          </w:p>
        </w:tc>
        <w:tc>
          <w:tcPr>
            <w:tcW w:w="1843" w:type="dxa"/>
          </w:tcPr>
          <w:p w14:paraId="1A79A13E"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1837A22D" w14:textId="77777777" w:rsidTr="004A6248">
        <w:trPr>
          <w:trHeight w:val="20"/>
        </w:trPr>
        <w:tc>
          <w:tcPr>
            <w:tcW w:w="546" w:type="dxa"/>
            <w:shd w:val="clear" w:color="000000" w:fill="538DD5"/>
            <w:vAlign w:val="center"/>
            <w:hideMark/>
          </w:tcPr>
          <w:p w14:paraId="6E113304"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15.2</w:t>
            </w:r>
          </w:p>
        </w:tc>
        <w:tc>
          <w:tcPr>
            <w:tcW w:w="10653" w:type="dxa"/>
            <w:gridSpan w:val="6"/>
            <w:shd w:val="clear" w:color="000000" w:fill="538DD5"/>
            <w:vAlign w:val="center"/>
            <w:hideMark/>
          </w:tcPr>
          <w:p w14:paraId="24DF234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Gestión de la prestación de servicios de proveedores</w:t>
            </w:r>
          </w:p>
        </w:tc>
        <w:tc>
          <w:tcPr>
            <w:tcW w:w="851" w:type="dxa"/>
            <w:shd w:val="clear" w:color="000000" w:fill="538DD5"/>
            <w:vAlign w:val="center"/>
            <w:hideMark/>
          </w:tcPr>
          <w:p w14:paraId="1F593A54"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70%</w:t>
            </w:r>
          </w:p>
        </w:tc>
        <w:tc>
          <w:tcPr>
            <w:tcW w:w="3827" w:type="dxa"/>
            <w:shd w:val="clear" w:color="000000" w:fill="538DD5"/>
            <w:vAlign w:val="center"/>
            <w:hideMark/>
          </w:tcPr>
          <w:p w14:paraId="3D1F72B2"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7A7FE9C2"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67A3EBFB" w14:textId="77777777" w:rsidTr="004A6248">
        <w:trPr>
          <w:trHeight w:val="20"/>
        </w:trPr>
        <w:tc>
          <w:tcPr>
            <w:tcW w:w="546" w:type="dxa"/>
            <w:shd w:val="clear" w:color="000000" w:fill="538DD5"/>
            <w:vAlign w:val="center"/>
            <w:hideMark/>
          </w:tcPr>
          <w:p w14:paraId="29556500"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4C1083DF"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Mantener el nivel acordado de seguridad de la información y de prestación del servicio en línea con los acuerdos con los proveedores.</w:t>
            </w:r>
          </w:p>
        </w:tc>
        <w:tc>
          <w:tcPr>
            <w:tcW w:w="851" w:type="dxa"/>
            <w:shd w:val="clear" w:color="000000" w:fill="538DD5"/>
            <w:vAlign w:val="center"/>
            <w:hideMark/>
          </w:tcPr>
          <w:p w14:paraId="309FD7CE"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3827" w:type="dxa"/>
            <w:shd w:val="clear" w:color="000000" w:fill="538DD5"/>
            <w:vAlign w:val="center"/>
            <w:hideMark/>
          </w:tcPr>
          <w:p w14:paraId="7F26D2D9"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843" w:type="dxa"/>
            <w:shd w:val="clear" w:color="000000" w:fill="538DD5"/>
          </w:tcPr>
          <w:p w14:paraId="0F73C6F2" w14:textId="77777777" w:rsidR="004A6248" w:rsidRPr="00795864" w:rsidRDefault="004A6248" w:rsidP="000F099B">
            <w:pPr>
              <w:rPr>
                <w:rFonts w:asciiTheme="majorHAnsi" w:eastAsia="Times New Roman" w:hAnsiTheme="majorHAnsi" w:cstheme="majorHAnsi"/>
                <w:color w:val="FFFFFF"/>
                <w:sz w:val="16"/>
                <w:szCs w:val="16"/>
                <w:lang w:val="es-CO" w:eastAsia="es-CO"/>
              </w:rPr>
            </w:pPr>
          </w:p>
        </w:tc>
      </w:tr>
      <w:tr w:rsidR="004A6248" w:rsidRPr="00795864" w14:paraId="17D3849E" w14:textId="77777777" w:rsidTr="004A6248">
        <w:trPr>
          <w:trHeight w:val="20"/>
        </w:trPr>
        <w:tc>
          <w:tcPr>
            <w:tcW w:w="546" w:type="dxa"/>
            <w:shd w:val="clear" w:color="auto" w:fill="auto"/>
            <w:vAlign w:val="center"/>
            <w:hideMark/>
          </w:tcPr>
          <w:p w14:paraId="16A0F39F"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15.2.1</w:t>
            </w:r>
          </w:p>
        </w:tc>
        <w:tc>
          <w:tcPr>
            <w:tcW w:w="1156" w:type="dxa"/>
            <w:shd w:val="clear" w:color="auto" w:fill="auto"/>
            <w:vAlign w:val="center"/>
            <w:hideMark/>
          </w:tcPr>
          <w:p w14:paraId="37AEE2C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Seguimiento y revisión de los servicios de los proveedores</w:t>
            </w:r>
          </w:p>
        </w:tc>
        <w:tc>
          <w:tcPr>
            <w:tcW w:w="2551" w:type="dxa"/>
            <w:shd w:val="clear" w:color="auto" w:fill="auto"/>
            <w:vAlign w:val="center"/>
            <w:hideMark/>
          </w:tcPr>
          <w:p w14:paraId="4B3E686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Las organizaciones deben hacer seguimiento, revisar y auditar con regularidad la prestación de servicios de los proveedores.</w:t>
            </w:r>
          </w:p>
        </w:tc>
        <w:tc>
          <w:tcPr>
            <w:tcW w:w="826" w:type="dxa"/>
            <w:shd w:val="clear" w:color="000000" w:fill="008000"/>
            <w:vAlign w:val="center"/>
            <w:hideMark/>
          </w:tcPr>
          <w:p w14:paraId="3437D9D0"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5DABC25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hacen seguimientos por parte del supervisor del contrato, pero no se hacen auditorias</w:t>
            </w:r>
          </w:p>
        </w:tc>
        <w:tc>
          <w:tcPr>
            <w:tcW w:w="1275" w:type="dxa"/>
            <w:shd w:val="clear" w:color="000000" w:fill="E26B0A"/>
            <w:vAlign w:val="center"/>
            <w:hideMark/>
          </w:tcPr>
          <w:p w14:paraId="214BBC9B"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70C0"/>
            <w:vAlign w:val="center"/>
            <w:hideMark/>
          </w:tcPr>
          <w:p w14:paraId="718F4BD7"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215D6687"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1733006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Desarrollar políticas de seguridad de la información para las relaciones con proveedores, que incluya la revisión de los servicios de los proveedores</w:t>
            </w:r>
          </w:p>
        </w:tc>
        <w:tc>
          <w:tcPr>
            <w:tcW w:w="1843" w:type="dxa"/>
          </w:tcPr>
          <w:p w14:paraId="1AA3C544"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61F7A63F" w14:textId="77777777" w:rsidTr="004A6248">
        <w:trPr>
          <w:trHeight w:val="20"/>
        </w:trPr>
        <w:tc>
          <w:tcPr>
            <w:tcW w:w="546" w:type="dxa"/>
            <w:shd w:val="clear" w:color="auto" w:fill="auto"/>
            <w:vAlign w:val="center"/>
            <w:hideMark/>
          </w:tcPr>
          <w:p w14:paraId="28935CBE"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lastRenderedPageBreak/>
              <w:t>15.2.2</w:t>
            </w:r>
          </w:p>
        </w:tc>
        <w:tc>
          <w:tcPr>
            <w:tcW w:w="1156" w:type="dxa"/>
            <w:shd w:val="clear" w:color="auto" w:fill="auto"/>
            <w:vAlign w:val="center"/>
            <w:hideMark/>
          </w:tcPr>
          <w:p w14:paraId="3859B97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Gestión de cambios a los servicios de los proveedores</w:t>
            </w:r>
          </w:p>
        </w:tc>
        <w:tc>
          <w:tcPr>
            <w:tcW w:w="2551" w:type="dxa"/>
            <w:shd w:val="clear" w:color="auto" w:fill="auto"/>
            <w:vAlign w:val="center"/>
            <w:hideMark/>
          </w:tcPr>
          <w:p w14:paraId="652CFF44"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gestionar los cambios en el suministro de servicios por parte de los proveedores, incluido el mantenimiento y la mejora de las políticas, procedimientos y controles de seguridad de la información existentes, teniendo en cuenta la criticidad de la información, sistemas y procesos del negocio involucrados, y la reevaluación de los riesgos.</w:t>
            </w:r>
          </w:p>
        </w:tc>
        <w:tc>
          <w:tcPr>
            <w:tcW w:w="826" w:type="dxa"/>
            <w:shd w:val="clear" w:color="000000" w:fill="008000"/>
            <w:vAlign w:val="center"/>
            <w:hideMark/>
          </w:tcPr>
          <w:p w14:paraId="0A49C945"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4BBB0F51"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La gestión de cambios a los servicios de los proveedores la realiza gestión contractual.</w:t>
            </w:r>
            <w:r w:rsidRPr="00795864">
              <w:rPr>
                <w:rFonts w:asciiTheme="majorHAnsi" w:eastAsia="Times New Roman" w:hAnsiTheme="majorHAnsi" w:cstheme="majorHAnsi"/>
                <w:color w:val="000000"/>
                <w:sz w:val="16"/>
                <w:szCs w:val="16"/>
                <w:lang w:val="es-CO" w:eastAsia="es-CO"/>
              </w:rPr>
              <w:br/>
              <w:t>* Se tienen contratos con proveedores tecnológicos como Asure y el canal de internet, pero no se tienen dichos controles estipulados.</w:t>
            </w:r>
          </w:p>
        </w:tc>
        <w:tc>
          <w:tcPr>
            <w:tcW w:w="1275" w:type="dxa"/>
            <w:shd w:val="clear" w:color="000000" w:fill="E26B0A"/>
            <w:vAlign w:val="center"/>
            <w:hideMark/>
          </w:tcPr>
          <w:p w14:paraId="6247798E"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B0F0"/>
            <w:vAlign w:val="center"/>
            <w:hideMark/>
          </w:tcPr>
          <w:p w14:paraId="6B0F2256"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Definido</w:t>
            </w:r>
          </w:p>
        </w:tc>
        <w:tc>
          <w:tcPr>
            <w:tcW w:w="851" w:type="dxa"/>
            <w:shd w:val="clear" w:color="auto" w:fill="auto"/>
            <w:vAlign w:val="center"/>
            <w:hideMark/>
          </w:tcPr>
          <w:p w14:paraId="3EA530B5"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60%</w:t>
            </w:r>
          </w:p>
        </w:tc>
        <w:tc>
          <w:tcPr>
            <w:tcW w:w="3827" w:type="dxa"/>
            <w:shd w:val="clear" w:color="auto" w:fill="auto"/>
            <w:vAlign w:val="center"/>
            <w:hideMark/>
          </w:tcPr>
          <w:p w14:paraId="624A662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Desarrollar políticas de seguridad de la información para las relaciones con proveedores, que permitan gestionar adecuadamente los cambios a los servicios de los proveedores</w:t>
            </w:r>
          </w:p>
        </w:tc>
        <w:tc>
          <w:tcPr>
            <w:tcW w:w="1843" w:type="dxa"/>
          </w:tcPr>
          <w:p w14:paraId="5B3D83D7"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48627285" w14:textId="77777777" w:rsidTr="004A6248">
        <w:trPr>
          <w:trHeight w:val="20"/>
        </w:trPr>
        <w:tc>
          <w:tcPr>
            <w:tcW w:w="546" w:type="dxa"/>
            <w:shd w:val="clear" w:color="000000" w:fill="1F497D"/>
            <w:vAlign w:val="center"/>
            <w:hideMark/>
          </w:tcPr>
          <w:p w14:paraId="74B1A23D"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16</w:t>
            </w:r>
          </w:p>
        </w:tc>
        <w:tc>
          <w:tcPr>
            <w:tcW w:w="10653" w:type="dxa"/>
            <w:gridSpan w:val="6"/>
            <w:shd w:val="clear" w:color="000000" w:fill="1F497D"/>
            <w:vAlign w:val="center"/>
            <w:hideMark/>
          </w:tcPr>
          <w:p w14:paraId="5DA9F8D1"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GESTIÓN DE INCIDENTES DE SEGURIDAD DE LA INFORMACIÓN</w:t>
            </w:r>
          </w:p>
        </w:tc>
        <w:tc>
          <w:tcPr>
            <w:tcW w:w="851" w:type="dxa"/>
            <w:shd w:val="clear" w:color="000000" w:fill="1F497D"/>
            <w:vAlign w:val="center"/>
            <w:hideMark/>
          </w:tcPr>
          <w:p w14:paraId="5CBB511A"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20%</w:t>
            </w:r>
          </w:p>
        </w:tc>
        <w:tc>
          <w:tcPr>
            <w:tcW w:w="3827" w:type="dxa"/>
            <w:shd w:val="clear" w:color="000000" w:fill="1F497D"/>
            <w:vAlign w:val="center"/>
            <w:hideMark/>
          </w:tcPr>
          <w:p w14:paraId="192330DC"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1F497D"/>
          </w:tcPr>
          <w:p w14:paraId="7616164D"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05D77DD2" w14:textId="77777777" w:rsidTr="004A6248">
        <w:trPr>
          <w:trHeight w:val="20"/>
        </w:trPr>
        <w:tc>
          <w:tcPr>
            <w:tcW w:w="546" w:type="dxa"/>
            <w:shd w:val="clear" w:color="000000" w:fill="538DD5"/>
            <w:vAlign w:val="center"/>
            <w:hideMark/>
          </w:tcPr>
          <w:p w14:paraId="03D03D8C"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16.1</w:t>
            </w:r>
          </w:p>
        </w:tc>
        <w:tc>
          <w:tcPr>
            <w:tcW w:w="10653" w:type="dxa"/>
            <w:gridSpan w:val="6"/>
            <w:shd w:val="clear" w:color="000000" w:fill="538DD5"/>
            <w:vAlign w:val="center"/>
            <w:hideMark/>
          </w:tcPr>
          <w:p w14:paraId="66D5E68B"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Gestión de incidentes y mejoras en la seguridad de la información</w:t>
            </w:r>
          </w:p>
        </w:tc>
        <w:tc>
          <w:tcPr>
            <w:tcW w:w="851" w:type="dxa"/>
            <w:shd w:val="clear" w:color="000000" w:fill="538DD5"/>
            <w:vAlign w:val="center"/>
            <w:hideMark/>
          </w:tcPr>
          <w:p w14:paraId="36FA55A9"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20%</w:t>
            </w:r>
          </w:p>
        </w:tc>
        <w:tc>
          <w:tcPr>
            <w:tcW w:w="3827" w:type="dxa"/>
            <w:shd w:val="clear" w:color="000000" w:fill="538DD5"/>
            <w:vAlign w:val="center"/>
            <w:hideMark/>
          </w:tcPr>
          <w:p w14:paraId="3CB51534"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09FB3972"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5ECD3D3F" w14:textId="77777777" w:rsidTr="004A6248">
        <w:trPr>
          <w:trHeight w:val="20"/>
        </w:trPr>
        <w:tc>
          <w:tcPr>
            <w:tcW w:w="546" w:type="dxa"/>
            <w:shd w:val="clear" w:color="000000" w:fill="538DD5"/>
            <w:vAlign w:val="center"/>
            <w:hideMark/>
          </w:tcPr>
          <w:p w14:paraId="370285A1"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76CD4EFF"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Asegurar un enfoque coherente y eficaz para la gestión de incidentes de seguridad de la información, incluida la comunicación sobre eventos de seguridad y debilidades.</w:t>
            </w:r>
          </w:p>
        </w:tc>
        <w:tc>
          <w:tcPr>
            <w:tcW w:w="851" w:type="dxa"/>
            <w:shd w:val="clear" w:color="000000" w:fill="538DD5"/>
            <w:vAlign w:val="center"/>
            <w:hideMark/>
          </w:tcPr>
          <w:p w14:paraId="3D5C80DA"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3827" w:type="dxa"/>
            <w:shd w:val="clear" w:color="000000" w:fill="538DD5"/>
            <w:vAlign w:val="center"/>
            <w:hideMark/>
          </w:tcPr>
          <w:p w14:paraId="20C7FA8C"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843" w:type="dxa"/>
            <w:shd w:val="clear" w:color="000000" w:fill="538DD5"/>
          </w:tcPr>
          <w:p w14:paraId="32E38E0C" w14:textId="77777777" w:rsidR="004A6248" w:rsidRPr="00795864" w:rsidRDefault="004A6248" w:rsidP="000F099B">
            <w:pPr>
              <w:rPr>
                <w:rFonts w:asciiTheme="majorHAnsi" w:eastAsia="Times New Roman" w:hAnsiTheme="majorHAnsi" w:cstheme="majorHAnsi"/>
                <w:color w:val="FFFFFF"/>
                <w:sz w:val="16"/>
                <w:szCs w:val="16"/>
                <w:lang w:val="es-CO" w:eastAsia="es-CO"/>
              </w:rPr>
            </w:pPr>
          </w:p>
        </w:tc>
      </w:tr>
      <w:tr w:rsidR="004A6248" w:rsidRPr="00795864" w14:paraId="6039718E" w14:textId="77777777" w:rsidTr="004A6248">
        <w:trPr>
          <w:trHeight w:val="20"/>
        </w:trPr>
        <w:tc>
          <w:tcPr>
            <w:tcW w:w="546" w:type="dxa"/>
            <w:shd w:val="clear" w:color="auto" w:fill="auto"/>
            <w:vAlign w:val="center"/>
            <w:hideMark/>
          </w:tcPr>
          <w:p w14:paraId="02B38065"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16.1.1</w:t>
            </w:r>
          </w:p>
        </w:tc>
        <w:tc>
          <w:tcPr>
            <w:tcW w:w="1156" w:type="dxa"/>
            <w:shd w:val="clear" w:color="auto" w:fill="auto"/>
            <w:vAlign w:val="center"/>
            <w:hideMark/>
          </w:tcPr>
          <w:p w14:paraId="3B514263"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Responsabilidades y procedimientos</w:t>
            </w:r>
          </w:p>
        </w:tc>
        <w:tc>
          <w:tcPr>
            <w:tcW w:w="2551" w:type="dxa"/>
            <w:shd w:val="clear" w:color="auto" w:fill="auto"/>
            <w:vAlign w:val="center"/>
            <w:hideMark/>
          </w:tcPr>
          <w:p w14:paraId="376CA37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establecer las responsabilidades y procedimientos de gestión para asegurar una respuesta rápida, eficaz y ordenada a los incidentes de seguridad de la información.</w:t>
            </w:r>
          </w:p>
        </w:tc>
        <w:tc>
          <w:tcPr>
            <w:tcW w:w="826" w:type="dxa"/>
            <w:shd w:val="clear" w:color="000000" w:fill="008000"/>
            <w:vAlign w:val="center"/>
            <w:hideMark/>
          </w:tcPr>
          <w:p w14:paraId="5DC6D781"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3046453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No se cuenta con un procedimiento formal para la gestión de incidentes en seguridad de la información</w:t>
            </w:r>
            <w:r w:rsidRPr="00795864">
              <w:rPr>
                <w:rFonts w:asciiTheme="majorHAnsi" w:eastAsia="Times New Roman" w:hAnsiTheme="majorHAnsi" w:cstheme="majorHAnsi"/>
                <w:color w:val="000000"/>
                <w:sz w:val="16"/>
                <w:szCs w:val="16"/>
                <w:lang w:val="es-CO" w:eastAsia="es-CO"/>
              </w:rPr>
              <w:br/>
              <w:t>* Se reacción ante el incidente de forma reactiva.</w:t>
            </w:r>
          </w:p>
        </w:tc>
        <w:tc>
          <w:tcPr>
            <w:tcW w:w="1275" w:type="dxa"/>
            <w:shd w:val="clear" w:color="000000" w:fill="E26B0A"/>
            <w:vAlign w:val="center"/>
            <w:hideMark/>
          </w:tcPr>
          <w:p w14:paraId="12D9D7D3"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E26B0A"/>
            <w:vAlign w:val="center"/>
            <w:hideMark/>
          </w:tcPr>
          <w:p w14:paraId="4A397DC3"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Inicial</w:t>
            </w:r>
          </w:p>
        </w:tc>
        <w:tc>
          <w:tcPr>
            <w:tcW w:w="851" w:type="dxa"/>
            <w:shd w:val="clear" w:color="auto" w:fill="auto"/>
            <w:vAlign w:val="center"/>
            <w:hideMark/>
          </w:tcPr>
          <w:p w14:paraId="1A9A7FF4"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20%</w:t>
            </w:r>
          </w:p>
        </w:tc>
        <w:tc>
          <w:tcPr>
            <w:tcW w:w="3827" w:type="dxa"/>
            <w:shd w:val="clear" w:color="auto" w:fill="auto"/>
            <w:vAlign w:val="center"/>
            <w:hideMark/>
          </w:tcPr>
          <w:p w14:paraId="342B6C83"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Definir un proceso para la gestión de incidentes de seguridad de la información</w:t>
            </w:r>
          </w:p>
        </w:tc>
        <w:tc>
          <w:tcPr>
            <w:tcW w:w="1843" w:type="dxa"/>
          </w:tcPr>
          <w:p w14:paraId="00EEB243"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2031478B" w14:textId="77777777" w:rsidTr="004A6248">
        <w:trPr>
          <w:trHeight w:val="20"/>
        </w:trPr>
        <w:tc>
          <w:tcPr>
            <w:tcW w:w="546" w:type="dxa"/>
            <w:shd w:val="clear" w:color="auto" w:fill="auto"/>
            <w:vAlign w:val="center"/>
            <w:hideMark/>
          </w:tcPr>
          <w:p w14:paraId="16C63DCA"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16.1.2</w:t>
            </w:r>
          </w:p>
        </w:tc>
        <w:tc>
          <w:tcPr>
            <w:tcW w:w="1156" w:type="dxa"/>
            <w:shd w:val="clear" w:color="auto" w:fill="auto"/>
            <w:vAlign w:val="center"/>
            <w:hideMark/>
          </w:tcPr>
          <w:p w14:paraId="4E3D2E3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Reporte de eventos de seguridad de la información</w:t>
            </w:r>
          </w:p>
        </w:tc>
        <w:tc>
          <w:tcPr>
            <w:tcW w:w="2551" w:type="dxa"/>
            <w:shd w:val="clear" w:color="auto" w:fill="auto"/>
            <w:vAlign w:val="center"/>
            <w:hideMark/>
          </w:tcPr>
          <w:p w14:paraId="1C23114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eventos de seguridad de la información se deben informar a través de los canales de gestión apropiados, tan pronto como sea posible.</w:t>
            </w:r>
          </w:p>
        </w:tc>
        <w:tc>
          <w:tcPr>
            <w:tcW w:w="826" w:type="dxa"/>
            <w:shd w:val="clear" w:color="000000" w:fill="008000"/>
            <w:vAlign w:val="center"/>
            <w:hideMark/>
          </w:tcPr>
          <w:p w14:paraId="0859CE92"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7856765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No se cuenta con un procedimiento formal para la gestión de incidentes en seguridad de la información</w:t>
            </w:r>
            <w:r w:rsidRPr="00795864">
              <w:rPr>
                <w:rFonts w:asciiTheme="majorHAnsi" w:eastAsia="Times New Roman" w:hAnsiTheme="majorHAnsi" w:cstheme="majorHAnsi"/>
                <w:color w:val="000000"/>
                <w:sz w:val="16"/>
                <w:szCs w:val="16"/>
                <w:lang w:val="es-CO" w:eastAsia="es-CO"/>
              </w:rPr>
              <w:br/>
              <w:t>* Se reacción ante el incidente de forma reactiva.</w:t>
            </w:r>
          </w:p>
        </w:tc>
        <w:tc>
          <w:tcPr>
            <w:tcW w:w="1275" w:type="dxa"/>
            <w:shd w:val="clear" w:color="000000" w:fill="E26B0A"/>
            <w:vAlign w:val="center"/>
            <w:hideMark/>
          </w:tcPr>
          <w:p w14:paraId="28074731"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E26B0A"/>
            <w:vAlign w:val="center"/>
            <w:hideMark/>
          </w:tcPr>
          <w:p w14:paraId="3A42FD3D"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Inicial</w:t>
            </w:r>
          </w:p>
        </w:tc>
        <w:tc>
          <w:tcPr>
            <w:tcW w:w="851" w:type="dxa"/>
            <w:shd w:val="clear" w:color="auto" w:fill="auto"/>
            <w:vAlign w:val="center"/>
            <w:hideMark/>
          </w:tcPr>
          <w:p w14:paraId="36F9F037"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20%</w:t>
            </w:r>
          </w:p>
        </w:tc>
        <w:tc>
          <w:tcPr>
            <w:tcW w:w="3827" w:type="dxa"/>
            <w:shd w:val="clear" w:color="auto" w:fill="auto"/>
            <w:vAlign w:val="center"/>
            <w:hideMark/>
          </w:tcPr>
          <w:p w14:paraId="2D814CC4"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Definir un proceso para la gestión de incidentes de seguridad de la información</w:t>
            </w:r>
          </w:p>
        </w:tc>
        <w:tc>
          <w:tcPr>
            <w:tcW w:w="1843" w:type="dxa"/>
          </w:tcPr>
          <w:p w14:paraId="546ACC6D"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715B860A" w14:textId="77777777" w:rsidTr="004A6248">
        <w:trPr>
          <w:trHeight w:val="20"/>
        </w:trPr>
        <w:tc>
          <w:tcPr>
            <w:tcW w:w="546" w:type="dxa"/>
            <w:shd w:val="clear" w:color="auto" w:fill="auto"/>
            <w:vAlign w:val="center"/>
            <w:hideMark/>
          </w:tcPr>
          <w:p w14:paraId="1D926016"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16.1.3</w:t>
            </w:r>
          </w:p>
        </w:tc>
        <w:tc>
          <w:tcPr>
            <w:tcW w:w="1156" w:type="dxa"/>
            <w:shd w:val="clear" w:color="auto" w:fill="auto"/>
            <w:vAlign w:val="center"/>
            <w:hideMark/>
          </w:tcPr>
          <w:p w14:paraId="137CF58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Reporte de debilidades de seguridad de la información</w:t>
            </w:r>
          </w:p>
        </w:tc>
        <w:tc>
          <w:tcPr>
            <w:tcW w:w="2551" w:type="dxa"/>
            <w:shd w:val="clear" w:color="auto" w:fill="auto"/>
            <w:vAlign w:val="center"/>
            <w:hideMark/>
          </w:tcPr>
          <w:p w14:paraId="3BE2EA3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 exigir a todos los empleados y contratistas que usan los servicios y sistemas de información de la organización, que observen e informen cualquier debilidad de seguridad de la información observada o sospechada en los sistemas o servicios.</w:t>
            </w:r>
          </w:p>
        </w:tc>
        <w:tc>
          <w:tcPr>
            <w:tcW w:w="826" w:type="dxa"/>
            <w:shd w:val="clear" w:color="000000" w:fill="008000"/>
            <w:vAlign w:val="center"/>
            <w:hideMark/>
          </w:tcPr>
          <w:p w14:paraId="0B4135F3"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5FBF748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No se cuenta con un procedimiento formal para la gestión de incidentes en seguridad de la información</w:t>
            </w:r>
            <w:r w:rsidRPr="00795864">
              <w:rPr>
                <w:rFonts w:asciiTheme="majorHAnsi" w:eastAsia="Times New Roman" w:hAnsiTheme="majorHAnsi" w:cstheme="majorHAnsi"/>
                <w:color w:val="000000"/>
                <w:sz w:val="16"/>
                <w:szCs w:val="16"/>
                <w:lang w:val="es-CO" w:eastAsia="es-CO"/>
              </w:rPr>
              <w:br/>
              <w:t>* Se reacción ante el incidente de forma reactiva.</w:t>
            </w:r>
          </w:p>
        </w:tc>
        <w:tc>
          <w:tcPr>
            <w:tcW w:w="1275" w:type="dxa"/>
            <w:shd w:val="clear" w:color="000000" w:fill="E26B0A"/>
            <w:vAlign w:val="center"/>
            <w:hideMark/>
          </w:tcPr>
          <w:p w14:paraId="4EE75E27"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E26B0A"/>
            <w:vAlign w:val="center"/>
            <w:hideMark/>
          </w:tcPr>
          <w:p w14:paraId="1D13CD98"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Inicial</w:t>
            </w:r>
          </w:p>
        </w:tc>
        <w:tc>
          <w:tcPr>
            <w:tcW w:w="851" w:type="dxa"/>
            <w:shd w:val="clear" w:color="auto" w:fill="auto"/>
            <w:vAlign w:val="center"/>
            <w:hideMark/>
          </w:tcPr>
          <w:p w14:paraId="1BC30861"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20%</w:t>
            </w:r>
          </w:p>
        </w:tc>
        <w:tc>
          <w:tcPr>
            <w:tcW w:w="3827" w:type="dxa"/>
            <w:shd w:val="clear" w:color="auto" w:fill="auto"/>
            <w:vAlign w:val="center"/>
            <w:hideMark/>
          </w:tcPr>
          <w:p w14:paraId="242521A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Definir un proceso para la gestión de incidentes de seguridad de la información</w:t>
            </w:r>
          </w:p>
        </w:tc>
        <w:tc>
          <w:tcPr>
            <w:tcW w:w="1843" w:type="dxa"/>
          </w:tcPr>
          <w:p w14:paraId="3F887774"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322722E1" w14:textId="77777777" w:rsidTr="004A6248">
        <w:trPr>
          <w:trHeight w:val="20"/>
        </w:trPr>
        <w:tc>
          <w:tcPr>
            <w:tcW w:w="546" w:type="dxa"/>
            <w:shd w:val="clear" w:color="auto" w:fill="auto"/>
            <w:vAlign w:val="center"/>
            <w:hideMark/>
          </w:tcPr>
          <w:p w14:paraId="5F3212DC"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16.1.4</w:t>
            </w:r>
          </w:p>
        </w:tc>
        <w:tc>
          <w:tcPr>
            <w:tcW w:w="1156" w:type="dxa"/>
            <w:shd w:val="clear" w:color="auto" w:fill="auto"/>
            <w:vAlign w:val="center"/>
            <w:hideMark/>
          </w:tcPr>
          <w:p w14:paraId="1F0A6B0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Evaluación de eventos de seguridad de la información y decisiones sobre ellos.</w:t>
            </w:r>
          </w:p>
        </w:tc>
        <w:tc>
          <w:tcPr>
            <w:tcW w:w="2551" w:type="dxa"/>
            <w:shd w:val="clear" w:color="auto" w:fill="auto"/>
            <w:vAlign w:val="center"/>
            <w:hideMark/>
          </w:tcPr>
          <w:p w14:paraId="6DB97F2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eventos de seguridad de la información se deben evaluar y se debe decidir si se van a clasificar como incidentes de seguridad de la información.</w:t>
            </w:r>
          </w:p>
        </w:tc>
        <w:tc>
          <w:tcPr>
            <w:tcW w:w="826" w:type="dxa"/>
            <w:shd w:val="clear" w:color="000000" w:fill="008000"/>
            <w:vAlign w:val="center"/>
            <w:hideMark/>
          </w:tcPr>
          <w:p w14:paraId="004EF1AE"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6F9A47D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No se cuenta con un procedimiento formal para la gestión de incidentes en seguridad de la información</w:t>
            </w:r>
            <w:r w:rsidRPr="00795864">
              <w:rPr>
                <w:rFonts w:asciiTheme="majorHAnsi" w:eastAsia="Times New Roman" w:hAnsiTheme="majorHAnsi" w:cstheme="majorHAnsi"/>
                <w:color w:val="000000"/>
                <w:sz w:val="16"/>
                <w:szCs w:val="16"/>
                <w:lang w:val="es-CO" w:eastAsia="es-CO"/>
              </w:rPr>
              <w:br/>
              <w:t>* Se reacción ante el incidente de forma reactiva.</w:t>
            </w:r>
          </w:p>
        </w:tc>
        <w:tc>
          <w:tcPr>
            <w:tcW w:w="1275" w:type="dxa"/>
            <w:shd w:val="clear" w:color="000000" w:fill="E26B0A"/>
            <w:vAlign w:val="center"/>
            <w:hideMark/>
          </w:tcPr>
          <w:p w14:paraId="0CC32D0C"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E26B0A"/>
            <w:vAlign w:val="center"/>
            <w:hideMark/>
          </w:tcPr>
          <w:p w14:paraId="36A3E5B9"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Inicial</w:t>
            </w:r>
          </w:p>
        </w:tc>
        <w:tc>
          <w:tcPr>
            <w:tcW w:w="851" w:type="dxa"/>
            <w:shd w:val="clear" w:color="auto" w:fill="auto"/>
            <w:vAlign w:val="center"/>
            <w:hideMark/>
          </w:tcPr>
          <w:p w14:paraId="48B0C52B"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20%</w:t>
            </w:r>
          </w:p>
        </w:tc>
        <w:tc>
          <w:tcPr>
            <w:tcW w:w="3827" w:type="dxa"/>
            <w:shd w:val="clear" w:color="auto" w:fill="auto"/>
            <w:vAlign w:val="center"/>
            <w:hideMark/>
          </w:tcPr>
          <w:p w14:paraId="4088F01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Definir un proceso para la gestión de incidentes de seguridad de la información</w:t>
            </w:r>
          </w:p>
        </w:tc>
        <w:tc>
          <w:tcPr>
            <w:tcW w:w="1843" w:type="dxa"/>
          </w:tcPr>
          <w:p w14:paraId="606F8AA7"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59926489" w14:textId="77777777" w:rsidTr="004A6248">
        <w:trPr>
          <w:trHeight w:val="20"/>
        </w:trPr>
        <w:tc>
          <w:tcPr>
            <w:tcW w:w="546" w:type="dxa"/>
            <w:shd w:val="clear" w:color="auto" w:fill="auto"/>
            <w:vAlign w:val="center"/>
            <w:hideMark/>
          </w:tcPr>
          <w:p w14:paraId="2271CF08"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16.1.</w:t>
            </w:r>
            <w:r w:rsidRPr="00795864">
              <w:rPr>
                <w:rFonts w:asciiTheme="majorHAnsi" w:eastAsia="Times New Roman" w:hAnsiTheme="majorHAnsi" w:cstheme="majorHAnsi"/>
                <w:color w:val="000000"/>
                <w:sz w:val="16"/>
                <w:szCs w:val="16"/>
                <w:lang w:val="es-CO" w:eastAsia="es-CO"/>
              </w:rPr>
              <w:lastRenderedPageBreak/>
              <w:t>5</w:t>
            </w:r>
          </w:p>
        </w:tc>
        <w:tc>
          <w:tcPr>
            <w:tcW w:w="1156" w:type="dxa"/>
            <w:shd w:val="clear" w:color="auto" w:fill="auto"/>
            <w:vAlign w:val="center"/>
            <w:hideMark/>
          </w:tcPr>
          <w:p w14:paraId="03202FB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lastRenderedPageBreak/>
              <w:t xml:space="preserve">Respuesta a </w:t>
            </w:r>
            <w:r w:rsidRPr="00795864">
              <w:rPr>
                <w:rFonts w:asciiTheme="majorHAnsi" w:eastAsia="Times New Roman" w:hAnsiTheme="majorHAnsi" w:cstheme="majorHAnsi"/>
                <w:color w:val="000000"/>
                <w:sz w:val="16"/>
                <w:szCs w:val="16"/>
                <w:lang w:val="es-CO" w:eastAsia="es-CO"/>
              </w:rPr>
              <w:lastRenderedPageBreak/>
              <w:t>incidentes de seguridad de la información</w:t>
            </w:r>
          </w:p>
        </w:tc>
        <w:tc>
          <w:tcPr>
            <w:tcW w:w="2551" w:type="dxa"/>
            <w:shd w:val="clear" w:color="auto" w:fill="auto"/>
            <w:vAlign w:val="center"/>
            <w:hideMark/>
          </w:tcPr>
          <w:p w14:paraId="04D32FBD"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lastRenderedPageBreak/>
              <w:t xml:space="preserve">Se debe dar respuesta a los </w:t>
            </w:r>
            <w:r w:rsidRPr="00795864">
              <w:rPr>
                <w:rFonts w:asciiTheme="majorHAnsi" w:eastAsia="Times New Roman" w:hAnsiTheme="majorHAnsi" w:cstheme="majorHAnsi"/>
                <w:color w:val="000000"/>
                <w:sz w:val="16"/>
                <w:szCs w:val="16"/>
                <w:lang w:val="es-CO" w:eastAsia="es-CO"/>
              </w:rPr>
              <w:lastRenderedPageBreak/>
              <w:t>incidentes de seguridad de la información de acuerdo con procedimientos documentados.</w:t>
            </w:r>
          </w:p>
        </w:tc>
        <w:tc>
          <w:tcPr>
            <w:tcW w:w="826" w:type="dxa"/>
            <w:shd w:val="clear" w:color="000000" w:fill="008000"/>
            <w:vAlign w:val="center"/>
            <w:hideMark/>
          </w:tcPr>
          <w:p w14:paraId="34DB183D"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lastRenderedPageBreak/>
              <w:t>Aplica</w:t>
            </w:r>
          </w:p>
        </w:tc>
        <w:tc>
          <w:tcPr>
            <w:tcW w:w="3569" w:type="dxa"/>
            <w:shd w:val="clear" w:color="auto" w:fill="auto"/>
            <w:vAlign w:val="center"/>
            <w:hideMark/>
          </w:tcPr>
          <w:p w14:paraId="543DBDE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 No se cuenta con un procedimiento formal para </w:t>
            </w:r>
            <w:r w:rsidRPr="00795864">
              <w:rPr>
                <w:rFonts w:asciiTheme="majorHAnsi" w:eastAsia="Times New Roman" w:hAnsiTheme="majorHAnsi" w:cstheme="majorHAnsi"/>
                <w:color w:val="000000"/>
                <w:sz w:val="16"/>
                <w:szCs w:val="16"/>
                <w:lang w:val="es-CO" w:eastAsia="es-CO"/>
              </w:rPr>
              <w:lastRenderedPageBreak/>
              <w:t>la gestión de incidentes en seguridad de la información</w:t>
            </w:r>
            <w:r w:rsidRPr="00795864">
              <w:rPr>
                <w:rFonts w:asciiTheme="majorHAnsi" w:eastAsia="Times New Roman" w:hAnsiTheme="majorHAnsi" w:cstheme="majorHAnsi"/>
                <w:color w:val="000000"/>
                <w:sz w:val="16"/>
                <w:szCs w:val="16"/>
                <w:lang w:val="es-CO" w:eastAsia="es-CO"/>
              </w:rPr>
              <w:br/>
              <w:t>* Se reacción ante el incidente de forma reactiva.</w:t>
            </w:r>
          </w:p>
        </w:tc>
        <w:tc>
          <w:tcPr>
            <w:tcW w:w="1275" w:type="dxa"/>
            <w:shd w:val="clear" w:color="000000" w:fill="E26B0A"/>
            <w:vAlign w:val="center"/>
            <w:hideMark/>
          </w:tcPr>
          <w:p w14:paraId="5FAC45FD"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lastRenderedPageBreak/>
              <w:t>PARCIAL</w:t>
            </w:r>
          </w:p>
        </w:tc>
        <w:tc>
          <w:tcPr>
            <w:tcW w:w="1276" w:type="dxa"/>
            <w:shd w:val="clear" w:color="000000" w:fill="E26B0A"/>
            <w:vAlign w:val="center"/>
            <w:hideMark/>
          </w:tcPr>
          <w:p w14:paraId="6F05DA11"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Inicial</w:t>
            </w:r>
          </w:p>
        </w:tc>
        <w:tc>
          <w:tcPr>
            <w:tcW w:w="851" w:type="dxa"/>
            <w:shd w:val="clear" w:color="auto" w:fill="auto"/>
            <w:vAlign w:val="center"/>
            <w:hideMark/>
          </w:tcPr>
          <w:p w14:paraId="4E8BB23D"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20%</w:t>
            </w:r>
          </w:p>
        </w:tc>
        <w:tc>
          <w:tcPr>
            <w:tcW w:w="3827" w:type="dxa"/>
            <w:shd w:val="clear" w:color="auto" w:fill="auto"/>
            <w:vAlign w:val="center"/>
            <w:hideMark/>
          </w:tcPr>
          <w:p w14:paraId="6041B5E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Definir un proceso para la gestión de incidentes de </w:t>
            </w:r>
            <w:r w:rsidRPr="00795864">
              <w:rPr>
                <w:rFonts w:asciiTheme="majorHAnsi" w:eastAsia="Times New Roman" w:hAnsiTheme="majorHAnsi" w:cstheme="majorHAnsi"/>
                <w:color w:val="000000"/>
                <w:sz w:val="16"/>
                <w:szCs w:val="16"/>
                <w:lang w:val="es-CO" w:eastAsia="es-CO"/>
              </w:rPr>
              <w:lastRenderedPageBreak/>
              <w:t>seguridad de la información</w:t>
            </w:r>
          </w:p>
        </w:tc>
        <w:tc>
          <w:tcPr>
            <w:tcW w:w="1843" w:type="dxa"/>
          </w:tcPr>
          <w:p w14:paraId="53ED819E"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1B115CDF" w14:textId="77777777" w:rsidTr="004A6248">
        <w:trPr>
          <w:trHeight w:val="20"/>
        </w:trPr>
        <w:tc>
          <w:tcPr>
            <w:tcW w:w="546" w:type="dxa"/>
            <w:shd w:val="clear" w:color="auto" w:fill="auto"/>
            <w:vAlign w:val="center"/>
            <w:hideMark/>
          </w:tcPr>
          <w:p w14:paraId="6027C950"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16.1.6</w:t>
            </w:r>
          </w:p>
        </w:tc>
        <w:tc>
          <w:tcPr>
            <w:tcW w:w="1156" w:type="dxa"/>
            <w:shd w:val="clear" w:color="auto" w:fill="auto"/>
            <w:vAlign w:val="center"/>
            <w:hideMark/>
          </w:tcPr>
          <w:p w14:paraId="7162F154"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Aprendizaje obtenido de los incidentes de seguridad de la información</w:t>
            </w:r>
          </w:p>
        </w:tc>
        <w:tc>
          <w:tcPr>
            <w:tcW w:w="2551" w:type="dxa"/>
            <w:shd w:val="clear" w:color="auto" w:fill="auto"/>
            <w:vAlign w:val="center"/>
            <w:hideMark/>
          </w:tcPr>
          <w:p w14:paraId="7BD1199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El conocimiento adquirido al analizar y resolver incidentes de seguridad de la información se debe usar para reducir la posibilidad o el impacto de incidentes futuros.</w:t>
            </w:r>
          </w:p>
        </w:tc>
        <w:tc>
          <w:tcPr>
            <w:tcW w:w="826" w:type="dxa"/>
            <w:shd w:val="clear" w:color="000000" w:fill="008000"/>
            <w:vAlign w:val="center"/>
            <w:hideMark/>
          </w:tcPr>
          <w:p w14:paraId="1FD00CFA"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0B8E992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No se cuenta con un procedimiento formal para la gestión de incidentes en seguridad de la información</w:t>
            </w:r>
            <w:r w:rsidRPr="00795864">
              <w:rPr>
                <w:rFonts w:asciiTheme="majorHAnsi" w:eastAsia="Times New Roman" w:hAnsiTheme="majorHAnsi" w:cstheme="majorHAnsi"/>
                <w:color w:val="000000"/>
                <w:sz w:val="16"/>
                <w:szCs w:val="16"/>
                <w:lang w:val="es-CO" w:eastAsia="es-CO"/>
              </w:rPr>
              <w:br/>
              <w:t>* Se reacción ante el incidente de forma reactiva.</w:t>
            </w:r>
          </w:p>
        </w:tc>
        <w:tc>
          <w:tcPr>
            <w:tcW w:w="1275" w:type="dxa"/>
            <w:shd w:val="clear" w:color="000000" w:fill="E26B0A"/>
            <w:vAlign w:val="center"/>
            <w:hideMark/>
          </w:tcPr>
          <w:p w14:paraId="789742B0"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E26B0A"/>
            <w:vAlign w:val="center"/>
            <w:hideMark/>
          </w:tcPr>
          <w:p w14:paraId="5DE656FE"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Inicial</w:t>
            </w:r>
          </w:p>
        </w:tc>
        <w:tc>
          <w:tcPr>
            <w:tcW w:w="851" w:type="dxa"/>
            <w:shd w:val="clear" w:color="auto" w:fill="auto"/>
            <w:vAlign w:val="center"/>
            <w:hideMark/>
          </w:tcPr>
          <w:p w14:paraId="68A42E41"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20%</w:t>
            </w:r>
          </w:p>
        </w:tc>
        <w:tc>
          <w:tcPr>
            <w:tcW w:w="3827" w:type="dxa"/>
            <w:shd w:val="clear" w:color="auto" w:fill="auto"/>
            <w:vAlign w:val="center"/>
            <w:hideMark/>
          </w:tcPr>
          <w:p w14:paraId="7D8F679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Definir un proceso para la gestión de incidentes de seguridad de la información</w:t>
            </w:r>
          </w:p>
        </w:tc>
        <w:tc>
          <w:tcPr>
            <w:tcW w:w="1843" w:type="dxa"/>
          </w:tcPr>
          <w:p w14:paraId="01865FAF"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41DFB7D8" w14:textId="77777777" w:rsidTr="004A6248">
        <w:trPr>
          <w:trHeight w:val="2065"/>
        </w:trPr>
        <w:tc>
          <w:tcPr>
            <w:tcW w:w="546" w:type="dxa"/>
            <w:shd w:val="clear" w:color="auto" w:fill="auto"/>
            <w:vAlign w:val="center"/>
            <w:hideMark/>
          </w:tcPr>
          <w:p w14:paraId="04249582"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16.1.7</w:t>
            </w:r>
          </w:p>
        </w:tc>
        <w:tc>
          <w:tcPr>
            <w:tcW w:w="1156" w:type="dxa"/>
            <w:shd w:val="clear" w:color="auto" w:fill="auto"/>
            <w:vAlign w:val="center"/>
            <w:hideMark/>
          </w:tcPr>
          <w:p w14:paraId="0A884794"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Recolección de evidencia</w:t>
            </w:r>
          </w:p>
        </w:tc>
        <w:tc>
          <w:tcPr>
            <w:tcW w:w="2551" w:type="dxa"/>
            <w:shd w:val="clear" w:color="auto" w:fill="auto"/>
            <w:vAlign w:val="center"/>
            <w:hideMark/>
          </w:tcPr>
          <w:p w14:paraId="292E9C1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 organización debe definir y aplicar procedimientos para la identificación, recolección, adquisición y preservación de información que pueda servir como evidencia.</w:t>
            </w:r>
          </w:p>
        </w:tc>
        <w:tc>
          <w:tcPr>
            <w:tcW w:w="826" w:type="dxa"/>
            <w:shd w:val="clear" w:color="000000" w:fill="008000"/>
            <w:vAlign w:val="center"/>
            <w:hideMark/>
          </w:tcPr>
          <w:p w14:paraId="7C272410"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049F6C1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No se cuenta con un procedimiento formal para la gestión de incidentes en seguridad de la información</w:t>
            </w:r>
            <w:r w:rsidRPr="00795864">
              <w:rPr>
                <w:rFonts w:asciiTheme="majorHAnsi" w:eastAsia="Times New Roman" w:hAnsiTheme="majorHAnsi" w:cstheme="majorHAnsi"/>
                <w:color w:val="000000"/>
                <w:sz w:val="16"/>
                <w:szCs w:val="16"/>
                <w:lang w:val="es-CO" w:eastAsia="es-CO"/>
              </w:rPr>
              <w:br/>
              <w:t>* Se reacción ante el incidente de forma reactiva.</w:t>
            </w:r>
          </w:p>
        </w:tc>
        <w:tc>
          <w:tcPr>
            <w:tcW w:w="1275" w:type="dxa"/>
            <w:shd w:val="clear" w:color="000000" w:fill="E26B0A"/>
            <w:vAlign w:val="center"/>
            <w:hideMark/>
          </w:tcPr>
          <w:p w14:paraId="73038526"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E26B0A"/>
            <w:vAlign w:val="center"/>
            <w:hideMark/>
          </w:tcPr>
          <w:p w14:paraId="6918033B"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Inicial</w:t>
            </w:r>
          </w:p>
        </w:tc>
        <w:tc>
          <w:tcPr>
            <w:tcW w:w="851" w:type="dxa"/>
            <w:shd w:val="clear" w:color="auto" w:fill="auto"/>
            <w:vAlign w:val="center"/>
            <w:hideMark/>
          </w:tcPr>
          <w:p w14:paraId="5940D529"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20%</w:t>
            </w:r>
          </w:p>
        </w:tc>
        <w:tc>
          <w:tcPr>
            <w:tcW w:w="3827" w:type="dxa"/>
            <w:shd w:val="clear" w:color="auto" w:fill="auto"/>
            <w:vAlign w:val="center"/>
            <w:hideMark/>
          </w:tcPr>
          <w:p w14:paraId="273E60D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Definir un proceso para la gestión de incidentes de seguridad de la información</w:t>
            </w:r>
          </w:p>
        </w:tc>
        <w:tc>
          <w:tcPr>
            <w:tcW w:w="1843" w:type="dxa"/>
          </w:tcPr>
          <w:p w14:paraId="1F169F08"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36D910B4" w14:textId="77777777" w:rsidTr="004A6248">
        <w:trPr>
          <w:trHeight w:val="20"/>
        </w:trPr>
        <w:tc>
          <w:tcPr>
            <w:tcW w:w="546" w:type="dxa"/>
            <w:shd w:val="clear" w:color="000000" w:fill="1F497D"/>
            <w:vAlign w:val="center"/>
            <w:hideMark/>
          </w:tcPr>
          <w:p w14:paraId="3E9CAD50"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17</w:t>
            </w:r>
          </w:p>
        </w:tc>
        <w:tc>
          <w:tcPr>
            <w:tcW w:w="10653" w:type="dxa"/>
            <w:gridSpan w:val="6"/>
            <w:shd w:val="clear" w:color="000000" w:fill="1F497D"/>
            <w:vAlign w:val="center"/>
            <w:hideMark/>
          </w:tcPr>
          <w:p w14:paraId="1BB1B9B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ASPECTOS DE SEGURIDAD DE LA INFORMACIÓN DE LA GESTIÓN DE CONTINUIDAD DE NEGOCIO</w:t>
            </w:r>
          </w:p>
        </w:tc>
        <w:tc>
          <w:tcPr>
            <w:tcW w:w="851" w:type="dxa"/>
            <w:shd w:val="clear" w:color="000000" w:fill="1F497D"/>
            <w:vAlign w:val="center"/>
            <w:hideMark/>
          </w:tcPr>
          <w:p w14:paraId="0C2E91A7"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37%</w:t>
            </w:r>
          </w:p>
        </w:tc>
        <w:tc>
          <w:tcPr>
            <w:tcW w:w="3827" w:type="dxa"/>
            <w:shd w:val="clear" w:color="000000" w:fill="1F497D"/>
            <w:vAlign w:val="center"/>
            <w:hideMark/>
          </w:tcPr>
          <w:p w14:paraId="719663EB"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1F497D"/>
          </w:tcPr>
          <w:p w14:paraId="31842DAD"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7F00018A" w14:textId="77777777" w:rsidTr="004A6248">
        <w:trPr>
          <w:trHeight w:val="20"/>
        </w:trPr>
        <w:tc>
          <w:tcPr>
            <w:tcW w:w="546" w:type="dxa"/>
            <w:shd w:val="clear" w:color="000000" w:fill="538DD5"/>
            <w:vAlign w:val="center"/>
            <w:hideMark/>
          </w:tcPr>
          <w:p w14:paraId="40628E7A"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17.1</w:t>
            </w:r>
          </w:p>
        </w:tc>
        <w:tc>
          <w:tcPr>
            <w:tcW w:w="10653" w:type="dxa"/>
            <w:gridSpan w:val="6"/>
            <w:shd w:val="clear" w:color="000000" w:fill="538DD5"/>
            <w:vAlign w:val="center"/>
            <w:hideMark/>
          </w:tcPr>
          <w:p w14:paraId="2000A3EE"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Continuidad de seguridad de la información</w:t>
            </w:r>
          </w:p>
        </w:tc>
        <w:tc>
          <w:tcPr>
            <w:tcW w:w="851" w:type="dxa"/>
            <w:shd w:val="clear" w:color="000000" w:fill="538DD5"/>
            <w:vAlign w:val="center"/>
            <w:hideMark/>
          </w:tcPr>
          <w:p w14:paraId="539DB17C"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33%</w:t>
            </w:r>
          </w:p>
        </w:tc>
        <w:tc>
          <w:tcPr>
            <w:tcW w:w="3827" w:type="dxa"/>
            <w:shd w:val="clear" w:color="000000" w:fill="538DD5"/>
            <w:vAlign w:val="center"/>
            <w:hideMark/>
          </w:tcPr>
          <w:p w14:paraId="63AEBB96"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415F45A7"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577AB2ED" w14:textId="77777777" w:rsidTr="004A6248">
        <w:trPr>
          <w:trHeight w:val="20"/>
        </w:trPr>
        <w:tc>
          <w:tcPr>
            <w:tcW w:w="546" w:type="dxa"/>
            <w:shd w:val="clear" w:color="000000" w:fill="538DD5"/>
            <w:vAlign w:val="center"/>
            <w:hideMark/>
          </w:tcPr>
          <w:p w14:paraId="3E47FE39"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6AF0AA8B"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La continuidad de seguridad de la información se debe incluir en los sistemas de gestión de la continuidad de negocio de la organización.</w:t>
            </w:r>
          </w:p>
        </w:tc>
        <w:tc>
          <w:tcPr>
            <w:tcW w:w="851" w:type="dxa"/>
            <w:shd w:val="clear" w:color="000000" w:fill="538DD5"/>
            <w:vAlign w:val="center"/>
            <w:hideMark/>
          </w:tcPr>
          <w:p w14:paraId="2DCB8E88"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3827" w:type="dxa"/>
            <w:shd w:val="clear" w:color="000000" w:fill="538DD5"/>
            <w:vAlign w:val="center"/>
            <w:hideMark/>
          </w:tcPr>
          <w:p w14:paraId="7527D0F1"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843" w:type="dxa"/>
            <w:shd w:val="clear" w:color="000000" w:fill="538DD5"/>
          </w:tcPr>
          <w:p w14:paraId="1387B014" w14:textId="77777777" w:rsidR="004A6248" w:rsidRPr="00795864" w:rsidRDefault="004A6248" w:rsidP="000F099B">
            <w:pPr>
              <w:rPr>
                <w:rFonts w:asciiTheme="majorHAnsi" w:eastAsia="Times New Roman" w:hAnsiTheme="majorHAnsi" w:cstheme="majorHAnsi"/>
                <w:color w:val="FFFFFF"/>
                <w:sz w:val="16"/>
                <w:szCs w:val="16"/>
                <w:lang w:val="es-CO" w:eastAsia="es-CO"/>
              </w:rPr>
            </w:pPr>
          </w:p>
        </w:tc>
      </w:tr>
      <w:tr w:rsidR="004A6248" w:rsidRPr="00795864" w14:paraId="430522E9" w14:textId="77777777" w:rsidTr="004A6248">
        <w:trPr>
          <w:trHeight w:val="20"/>
        </w:trPr>
        <w:tc>
          <w:tcPr>
            <w:tcW w:w="546" w:type="dxa"/>
            <w:shd w:val="clear" w:color="auto" w:fill="auto"/>
            <w:vAlign w:val="center"/>
            <w:hideMark/>
          </w:tcPr>
          <w:p w14:paraId="192F08C3"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17.1.1</w:t>
            </w:r>
          </w:p>
        </w:tc>
        <w:tc>
          <w:tcPr>
            <w:tcW w:w="1156" w:type="dxa"/>
            <w:shd w:val="clear" w:color="auto" w:fill="auto"/>
            <w:vAlign w:val="center"/>
            <w:hideMark/>
          </w:tcPr>
          <w:p w14:paraId="3C6FF27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Planificación de la continuidad de la seguridad de la información</w:t>
            </w:r>
          </w:p>
        </w:tc>
        <w:tc>
          <w:tcPr>
            <w:tcW w:w="2551" w:type="dxa"/>
            <w:shd w:val="clear" w:color="auto" w:fill="auto"/>
            <w:vAlign w:val="center"/>
            <w:hideMark/>
          </w:tcPr>
          <w:p w14:paraId="2DB4851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 organización debe determinar sus requisitos para la seguridad de la información y la continuidad de la gestión de seguridad de la información en situaciones adversas, por ejemplo, durante una crisis o desastre.</w:t>
            </w:r>
          </w:p>
        </w:tc>
        <w:tc>
          <w:tcPr>
            <w:tcW w:w="826" w:type="dxa"/>
            <w:shd w:val="clear" w:color="000000" w:fill="008000"/>
            <w:vAlign w:val="center"/>
            <w:hideMark/>
          </w:tcPr>
          <w:p w14:paraId="01635586"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5AD49AB1"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 No se cuenta con </w:t>
            </w:r>
            <w:proofErr w:type="spellStart"/>
            <w:r w:rsidRPr="00795864">
              <w:rPr>
                <w:rFonts w:asciiTheme="majorHAnsi" w:eastAsia="Times New Roman" w:hAnsiTheme="majorHAnsi" w:cstheme="majorHAnsi"/>
                <w:color w:val="000000"/>
                <w:sz w:val="16"/>
                <w:szCs w:val="16"/>
                <w:lang w:val="es-CO" w:eastAsia="es-CO"/>
              </w:rPr>
              <w:t>DataCenter</w:t>
            </w:r>
            <w:proofErr w:type="spellEnd"/>
            <w:r w:rsidRPr="00795864">
              <w:rPr>
                <w:rFonts w:asciiTheme="majorHAnsi" w:eastAsia="Times New Roman" w:hAnsiTheme="majorHAnsi" w:cstheme="majorHAnsi"/>
                <w:color w:val="000000"/>
                <w:sz w:val="16"/>
                <w:szCs w:val="16"/>
                <w:lang w:val="es-CO" w:eastAsia="es-CO"/>
              </w:rPr>
              <w:t xml:space="preserve"> alterno.</w:t>
            </w:r>
            <w:r w:rsidRPr="00795864">
              <w:rPr>
                <w:rFonts w:asciiTheme="majorHAnsi" w:eastAsia="Times New Roman" w:hAnsiTheme="majorHAnsi" w:cstheme="majorHAnsi"/>
                <w:color w:val="000000"/>
                <w:sz w:val="16"/>
                <w:szCs w:val="16"/>
                <w:lang w:val="es-CO" w:eastAsia="es-CO"/>
              </w:rPr>
              <w:br/>
              <w:t>* Se tiene alta disponibilidad de las plataformas y las soluciones más críticas, como:</w:t>
            </w:r>
            <w:r w:rsidRPr="00795864">
              <w:rPr>
                <w:rFonts w:asciiTheme="majorHAnsi" w:eastAsia="Times New Roman" w:hAnsiTheme="majorHAnsi" w:cstheme="majorHAnsi"/>
                <w:color w:val="000000"/>
                <w:sz w:val="16"/>
                <w:szCs w:val="16"/>
                <w:lang w:val="es-CO" w:eastAsia="es-CO"/>
              </w:rPr>
              <w:br/>
              <w:t>- Se tiene el servicio SQL server en clúster</w:t>
            </w:r>
            <w:r w:rsidRPr="00795864">
              <w:rPr>
                <w:rFonts w:asciiTheme="majorHAnsi" w:eastAsia="Times New Roman" w:hAnsiTheme="majorHAnsi" w:cstheme="majorHAnsi"/>
                <w:color w:val="000000"/>
                <w:sz w:val="16"/>
                <w:szCs w:val="16"/>
                <w:lang w:val="es-CO" w:eastAsia="es-CO"/>
              </w:rPr>
              <w:br/>
              <w:t>- Se tiene el servicio de Exchange DAC alta disponibilidad (configuración manual)</w:t>
            </w:r>
            <w:r w:rsidRPr="00795864">
              <w:rPr>
                <w:rFonts w:asciiTheme="majorHAnsi" w:eastAsia="Times New Roman" w:hAnsiTheme="majorHAnsi" w:cstheme="majorHAnsi"/>
                <w:color w:val="000000"/>
                <w:sz w:val="16"/>
                <w:szCs w:val="16"/>
                <w:lang w:val="es-CO" w:eastAsia="es-CO"/>
              </w:rPr>
              <w:br/>
              <w:t>- Directorio activo en alta disponibilidad</w:t>
            </w:r>
            <w:r w:rsidRPr="00795864">
              <w:rPr>
                <w:rFonts w:asciiTheme="majorHAnsi" w:eastAsia="Times New Roman" w:hAnsiTheme="majorHAnsi" w:cstheme="majorHAnsi"/>
                <w:color w:val="000000"/>
                <w:sz w:val="16"/>
                <w:szCs w:val="16"/>
                <w:lang w:val="es-CO" w:eastAsia="es-CO"/>
              </w:rPr>
              <w:br/>
              <w:t>- Firewall en alta disponibilidad</w:t>
            </w:r>
            <w:r w:rsidRPr="00795864">
              <w:rPr>
                <w:rFonts w:asciiTheme="majorHAnsi" w:eastAsia="Times New Roman" w:hAnsiTheme="majorHAnsi" w:cstheme="majorHAnsi"/>
                <w:color w:val="000000"/>
                <w:sz w:val="16"/>
                <w:szCs w:val="16"/>
                <w:lang w:val="es-CO" w:eastAsia="es-CO"/>
              </w:rPr>
              <w:br/>
              <w:t>- Se tiene un Switch Core con fuente redundante</w:t>
            </w:r>
            <w:r w:rsidRPr="00795864">
              <w:rPr>
                <w:rFonts w:asciiTheme="majorHAnsi" w:eastAsia="Times New Roman" w:hAnsiTheme="majorHAnsi" w:cstheme="majorHAnsi"/>
                <w:color w:val="000000"/>
                <w:sz w:val="16"/>
                <w:szCs w:val="16"/>
                <w:lang w:val="es-CO" w:eastAsia="es-CO"/>
              </w:rPr>
              <w:br/>
              <w:t>- Se tienen 2 switches de SAN en alta disponibilidad</w:t>
            </w:r>
            <w:r w:rsidRPr="00795864">
              <w:rPr>
                <w:rFonts w:asciiTheme="majorHAnsi" w:eastAsia="Times New Roman" w:hAnsiTheme="majorHAnsi" w:cstheme="majorHAnsi"/>
                <w:color w:val="000000"/>
                <w:sz w:val="16"/>
                <w:szCs w:val="16"/>
                <w:lang w:val="es-CO" w:eastAsia="es-CO"/>
              </w:rPr>
              <w:br/>
              <w:t>* Se cuenta con el servicio de Asure, para tener servidores en la nube, actualmente solo se tiene la aplicación de trasplantes, el cual cuenta con procedimiento para ponerlo en operación de ser necesario.</w:t>
            </w:r>
            <w:r w:rsidRPr="00795864">
              <w:rPr>
                <w:rFonts w:asciiTheme="majorHAnsi" w:eastAsia="Times New Roman" w:hAnsiTheme="majorHAnsi" w:cstheme="majorHAnsi"/>
                <w:color w:val="000000"/>
                <w:sz w:val="16"/>
                <w:szCs w:val="16"/>
                <w:lang w:val="es-CO" w:eastAsia="es-CO"/>
              </w:rPr>
              <w:br/>
              <w:t>* No se tienen planes para garantizar la seguridad de la información ante un desastre o contingencia.</w:t>
            </w:r>
          </w:p>
        </w:tc>
        <w:tc>
          <w:tcPr>
            <w:tcW w:w="1275" w:type="dxa"/>
            <w:shd w:val="clear" w:color="000000" w:fill="E26B0A"/>
            <w:vAlign w:val="center"/>
            <w:hideMark/>
          </w:tcPr>
          <w:p w14:paraId="293F6E2A"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FFFF00"/>
            <w:vAlign w:val="center"/>
            <w:hideMark/>
          </w:tcPr>
          <w:p w14:paraId="01721BDA"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Repetible</w:t>
            </w:r>
          </w:p>
        </w:tc>
        <w:tc>
          <w:tcPr>
            <w:tcW w:w="851" w:type="dxa"/>
            <w:shd w:val="clear" w:color="auto" w:fill="auto"/>
            <w:vAlign w:val="center"/>
            <w:hideMark/>
          </w:tcPr>
          <w:p w14:paraId="11A31E77"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40%</w:t>
            </w:r>
          </w:p>
        </w:tc>
        <w:tc>
          <w:tcPr>
            <w:tcW w:w="3827" w:type="dxa"/>
            <w:shd w:val="clear" w:color="auto" w:fill="auto"/>
            <w:vAlign w:val="center"/>
            <w:hideMark/>
          </w:tcPr>
          <w:p w14:paraId="39D46B6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Validar cuales son los servicios que no se encuentran en alta disponibilidad y definir el plan de acción.</w:t>
            </w:r>
            <w:r w:rsidRPr="00795864">
              <w:rPr>
                <w:rFonts w:asciiTheme="majorHAnsi" w:eastAsia="Times New Roman" w:hAnsiTheme="majorHAnsi" w:cstheme="majorHAnsi"/>
                <w:color w:val="000000"/>
                <w:sz w:val="16"/>
                <w:szCs w:val="16"/>
                <w:lang w:val="es-CO" w:eastAsia="es-CO"/>
              </w:rPr>
              <w:br/>
              <w:t>* Definir una política para la continuidad de la seguridad de la información</w:t>
            </w:r>
          </w:p>
        </w:tc>
        <w:tc>
          <w:tcPr>
            <w:tcW w:w="1843" w:type="dxa"/>
          </w:tcPr>
          <w:p w14:paraId="2529789F"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0B68DEB7" w14:textId="77777777" w:rsidTr="004A6248">
        <w:trPr>
          <w:trHeight w:val="20"/>
        </w:trPr>
        <w:tc>
          <w:tcPr>
            <w:tcW w:w="546" w:type="dxa"/>
            <w:shd w:val="clear" w:color="auto" w:fill="auto"/>
            <w:vAlign w:val="center"/>
            <w:hideMark/>
          </w:tcPr>
          <w:p w14:paraId="3719127F"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17.1.</w:t>
            </w:r>
            <w:r w:rsidRPr="00795864">
              <w:rPr>
                <w:rFonts w:asciiTheme="majorHAnsi" w:eastAsia="Times New Roman" w:hAnsiTheme="majorHAnsi" w:cstheme="majorHAnsi"/>
                <w:color w:val="000000"/>
                <w:sz w:val="16"/>
                <w:szCs w:val="16"/>
                <w:lang w:val="es-CO" w:eastAsia="es-CO"/>
              </w:rPr>
              <w:lastRenderedPageBreak/>
              <w:t>2</w:t>
            </w:r>
          </w:p>
        </w:tc>
        <w:tc>
          <w:tcPr>
            <w:tcW w:w="1156" w:type="dxa"/>
            <w:shd w:val="clear" w:color="auto" w:fill="auto"/>
            <w:vAlign w:val="center"/>
            <w:hideMark/>
          </w:tcPr>
          <w:p w14:paraId="57E7616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lastRenderedPageBreak/>
              <w:t>Implementaci</w:t>
            </w:r>
            <w:r w:rsidRPr="00795864">
              <w:rPr>
                <w:rFonts w:asciiTheme="majorHAnsi" w:eastAsia="Times New Roman" w:hAnsiTheme="majorHAnsi" w:cstheme="majorHAnsi"/>
                <w:color w:val="000000"/>
                <w:sz w:val="16"/>
                <w:szCs w:val="16"/>
                <w:lang w:val="es-CO" w:eastAsia="es-CO"/>
              </w:rPr>
              <w:lastRenderedPageBreak/>
              <w:t>ón de la continuidad de la seguridad de la información</w:t>
            </w:r>
          </w:p>
        </w:tc>
        <w:tc>
          <w:tcPr>
            <w:tcW w:w="2551" w:type="dxa"/>
            <w:shd w:val="clear" w:color="auto" w:fill="auto"/>
            <w:vAlign w:val="center"/>
            <w:hideMark/>
          </w:tcPr>
          <w:p w14:paraId="6290D9B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lastRenderedPageBreak/>
              <w:t xml:space="preserve">La organización debe establecer, </w:t>
            </w:r>
            <w:r w:rsidRPr="00795864">
              <w:rPr>
                <w:rFonts w:asciiTheme="majorHAnsi" w:eastAsia="Times New Roman" w:hAnsiTheme="majorHAnsi" w:cstheme="majorHAnsi"/>
                <w:color w:val="000000"/>
                <w:sz w:val="16"/>
                <w:szCs w:val="16"/>
                <w:lang w:val="es-CO" w:eastAsia="es-CO"/>
              </w:rPr>
              <w:lastRenderedPageBreak/>
              <w:t>documentar, implementar y mantener procesos, procedimientos y controles para asegurar el nivel de continuidad requerido para la seguridad de la información durante una situación adversa.</w:t>
            </w:r>
          </w:p>
        </w:tc>
        <w:tc>
          <w:tcPr>
            <w:tcW w:w="826" w:type="dxa"/>
            <w:shd w:val="clear" w:color="000000" w:fill="008000"/>
            <w:vAlign w:val="center"/>
            <w:hideMark/>
          </w:tcPr>
          <w:p w14:paraId="69FD9394"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lastRenderedPageBreak/>
              <w:t>Aplica</w:t>
            </w:r>
          </w:p>
        </w:tc>
        <w:tc>
          <w:tcPr>
            <w:tcW w:w="3569" w:type="dxa"/>
            <w:shd w:val="clear" w:color="auto" w:fill="auto"/>
            <w:vAlign w:val="center"/>
            <w:hideMark/>
          </w:tcPr>
          <w:p w14:paraId="40137AE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 No se cuenta con </w:t>
            </w:r>
            <w:proofErr w:type="spellStart"/>
            <w:r w:rsidRPr="00795864">
              <w:rPr>
                <w:rFonts w:asciiTheme="majorHAnsi" w:eastAsia="Times New Roman" w:hAnsiTheme="majorHAnsi" w:cstheme="majorHAnsi"/>
                <w:color w:val="000000"/>
                <w:sz w:val="16"/>
                <w:szCs w:val="16"/>
                <w:lang w:val="es-CO" w:eastAsia="es-CO"/>
              </w:rPr>
              <w:t>DataCenter</w:t>
            </w:r>
            <w:proofErr w:type="spellEnd"/>
            <w:r w:rsidRPr="00795864">
              <w:rPr>
                <w:rFonts w:asciiTheme="majorHAnsi" w:eastAsia="Times New Roman" w:hAnsiTheme="majorHAnsi" w:cstheme="majorHAnsi"/>
                <w:color w:val="000000"/>
                <w:sz w:val="16"/>
                <w:szCs w:val="16"/>
                <w:lang w:val="es-CO" w:eastAsia="es-CO"/>
              </w:rPr>
              <w:t xml:space="preserve"> alterno.</w:t>
            </w:r>
            <w:r w:rsidRPr="00795864">
              <w:rPr>
                <w:rFonts w:asciiTheme="majorHAnsi" w:eastAsia="Times New Roman" w:hAnsiTheme="majorHAnsi" w:cstheme="majorHAnsi"/>
                <w:color w:val="000000"/>
                <w:sz w:val="16"/>
                <w:szCs w:val="16"/>
                <w:lang w:val="es-CO" w:eastAsia="es-CO"/>
              </w:rPr>
              <w:br/>
            </w:r>
            <w:r w:rsidRPr="00795864">
              <w:rPr>
                <w:rFonts w:asciiTheme="majorHAnsi" w:eastAsia="Times New Roman" w:hAnsiTheme="majorHAnsi" w:cstheme="majorHAnsi"/>
                <w:color w:val="000000"/>
                <w:sz w:val="16"/>
                <w:szCs w:val="16"/>
                <w:lang w:val="es-CO" w:eastAsia="es-CO"/>
              </w:rPr>
              <w:lastRenderedPageBreak/>
              <w:t>* Se tiene alta disponibilidad de las plataformas y las soluciones más críticas, como:</w:t>
            </w:r>
            <w:r w:rsidRPr="00795864">
              <w:rPr>
                <w:rFonts w:asciiTheme="majorHAnsi" w:eastAsia="Times New Roman" w:hAnsiTheme="majorHAnsi" w:cstheme="majorHAnsi"/>
                <w:color w:val="000000"/>
                <w:sz w:val="16"/>
                <w:szCs w:val="16"/>
                <w:lang w:val="es-CO" w:eastAsia="es-CO"/>
              </w:rPr>
              <w:br/>
              <w:t>- Se tiene el servicio SQL server en clúster</w:t>
            </w:r>
            <w:r w:rsidRPr="00795864">
              <w:rPr>
                <w:rFonts w:asciiTheme="majorHAnsi" w:eastAsia="Times New Roman" w:hAnsiTheme="majorHAnsi" w:cstheme="majorHAnsi"/>
                <w:color w:val="000000"/>
                <w:sz w:val="16"/>
                <w:szCs w:val="16"/>
                <w:lang w:val="es-CO" w:eastAsia="es-CO"/>
              </w:rPr>
              <w:br/>
              <w:t>- Se tiene el servicio de Exchange DAC alta disponibilidad (configuración manual)</w:t>
            </w:r>
            <w:r w:rsidRPr="00795864">
              <w:rPr>
                <w:rFonts w:asciiTheme="majorHAnsi" w:eastAsia="Times New Roman" w:hAnsiTheme="majorHAnsi" w:cstheme="majorHAnsi"/>
                <w:color w:val="000000"/>
                <w:sz w:val="16"/>
                <w:szCs w:val="16"/>
                <w:lang w:val="es-CO" w:eastAsia="es-CO"/>
              </w:rPr>
              <w:br/>
              <w:t>- Directorio activo en alta disponibilidad</w:t>
            </w:r>
            <w:r w:rsidRPr="00795864">
              <w:rPr>
                <w:rFonts w:asciiTheme="majorHAnsi" w:eastAsia="Times New Roman" w:hAnsiTheme="majorHAnsi" w:cstheme="majorHAnsi"/>
                <w:color w:val="000000"/>
                <w:sz w:val="16"/>
                <w:szCs w:val="16"/>
                <w:lang w:val="es-CO" w:eastAsia="es-CO"/>
              </w:rPr>
              <w:br/>
              <w:t>- Firewall en alta disponibilidad</w:t>
            </w:r>
            <w:r w:rsidRPr="00795864">
              <w:rPr>
                <w:rFonts w:asciiTheme="majorHAnsi" w:eastAsia="Times New Roman" w:hAnsiTheme="majorHAnsi" w:cstheme="majorHAnsi"/>
                <w:color w:val="000000"/>
                <w:sz w:val="16"/>
                <w:szCs w:val="16"/>
                <w:lang w:val="es-CO" w:eastAsia="es-CO"/>
              </w:rPr>
              <w:br/>
              <w:t>- Se tiene un Switch Core con fuente redundante</w:t>
            </w:r>
            <w:r w:rsidRPr="00795864">
              <w:rPr>
                <w:rFonts w:asciiTheme="majorHAnsi" w:eastAsia="Times New Roman" w:hAnsiTheme="majorHAnsi" w:cstheme="majorHAnsi"/>
                <w:color w:val="000000"/>
                <w:sz w:val="16"/>
                <w:szCs w:val="16"/>
                <w:lang w:val="es-CO" w:eastAsia="es-CO"/>
              </w:rPr>
              <w:br/>
              <w:t>- Se tienen 2 switches de SAN en alta disponibilidad</w:t>
            </w:r>
            <w:r w:rsidRPr="00795864">
              <w:rPr>
                <w:rFonts w:asciiTheme="majorHAnsi" w:eastAsia="Times New Roman" w:hAnsiTheme="majorHAnsi" w:cstheme="majorHAnsi"/>
                <w:color w:val="000000"/>
                <w:sz w:val="16"/>
                <w:szCs w:val="16"/>
                <w:lang w:val="es-CO" w:eastAsia="es-CO"/>
              </w:rPr>
              <w:br/>
              <w:t>* Se cuenta con el servicio de Asure, para tener servidores en la nube, actualmente solo se tiene la aplicación de trasplantes, el cual cuenta con procedimiento para ponerlo en operación de ser necesario.</w:t>
            </w:r>
            <w:r w:rsidRPr="00795864">
              <w:rPr>
                <w:rFonts w:asciiTheme="majorHAnsi" w:eastAsia="Times New Roman" w:hAnsiTheme="majorHAnsi" w:cstheme="majorHAnsi"/>
                <w:color w:val="000000"/>
                <w:sz w:val="16"/>
                <w:szCs w:val="16"/>
                <w:lang w:val="es-CO" w:eastAsia="es-CO"/>
              </w:rPr>
              <w:br/>
              <w:t>* No se tienen planes para garantizar la seguridad de la información ante un desastre o contingencia.</w:t>
            </w:r>
          </w:p>
        </w:tc>
        <w:tc>
          <w:tcPr>
            <w:tcW w:w="1275" w:type="dxa"/>
            <w:shd w:val="clear" w:color="000000" w:fill="E26B0A"/>
            <w:vAlign w:val="center"/>
            <w:hideMark/>
          </w:tcPr>
          <w:p w14:paraId="465E6CC5"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lastRenderedPageBreak/>
              <w:t>PARCIAL</w:t>
            </w:r>
          </w:p>
        </w:tc>
        <w:tc>
          <w:tcPr>
            <w:tcW w:w="1276" w:type="dxa"/>
            <w:shd w:val="clear" w:color="000000" w:fill="FFFF00"/>
            <w:vAlign w:val="center"/>
            <w:hideMark/>
          </w:tcPr>
          <w:p w14:paraId="2F7FA9A5"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Repetible</w:t>
            </w:r>
          </w:p>
        </w:tc>
        <w:tc>
          <w:tcPr>
            <w:tcW w:w="851" w:type="dxa"/>
            <w:shd w:val="clear" w:color="auto" w:fill="auto"/>
            <w:vAlign w:val="center"/>
            <w:hideMark/>
          </w:tcPr>
          <w:p w14:paraId="4F9BDDE1"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40%</w:t>
            </w:r>
          </w:p>
        </w:tc>
        <w:tc>
          <w:tcPr>
            <w:tcW w:w="3827" w:type="dxa"/>
            <w:shd w:val="clear" w:color="auto" w:fill="auto"/>
            <w:vAlign w:val="center"/>
            <w:hideMark/>
          </w:tcPr>
          <w:p w14:paraId="299BF0C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 Validar cuales son los servicios que no se </w:t>
            </w:r>
            <w:r w:rsidRPr="00795864">
              <w:rPr>
                <w:rFonts w:asciiTheme="majorHAnsi" w:eastAsia="Times New Roman" w:hAnsiTheme="majorHAnsi" w:cstheme="majorHAnsi"/>
                <w:color w:val="000000"/>
                <w:sz w:val="16"/>
                <w:szCs w:val="16"/>
                <w:lang w:val="es-CO" w:eastAsia="es-CO"/>
              </w:rPr>
              <w:lastRenderedPageBreak/>
              <w:t>encuentran en alta disponibilidad y definir el plan de acción.</w:t>
            </w:r>
            <w:r w:rsidRPr="00795864">
              <w:rPr>
                <w:rFonts w:asciiTheme="majorHAnsi" w:eastAsia="Times New Roman" w:hAnsiTheme="majorHAnsi" w:cstheme="majorHAnsi"/>
                <w:color w:val="000000"/>
                <w:sz w:val="16"/>
                <w:szCs w:val="16"/>
                <w:lang w:val="es-CO" w:eastAsia="es-CO"/>
              </w:rPr>
              <w:br/>
              <w:t>* Definir una política para la continuidad de la seguridad de la información</w:t>
            </w:r>
          </w:p>
        </w:tc>
        <w:tc>
          <w:tcPr>
            <w:tcW w:w="1843" w:type="dxa"/>
          </w:tcPr>
          <w:p w14:paraId="5E700B28"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1D270C06" w14:textId="77777777" w:rsidTr="004A6248">
        <w:trPr>
          <w:trHeight w:val="20"/>
        </w:trPr>
        <w:tc>
          <w:tcPr>
            <w:tcW w:w="546" w:type="dxa"/>
            <w:shd w:val="clear" w:color="auto" w:fill="auto"/>
            <w:vAlign w:val="center"/>
            <w:hideMark/>
          </w:tcPr>
          <w:p w14:paraId="5134DC82"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17.1.3</w:t>
            </w:r>
          </w:p>
        </w:tc>
        <w:tc>
          <w:tcPr>
            <w:tcW w:w="1156" w:type="dxa"/>
            <w:shd w:val="clear" w:color="auto" w:fill="auto"/>
            <w:vAlign w:val="center"/>
            <w:hideMark/>
          </w:tcPr>
          <w:p w14:paraId="73FC52B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Verificación, revisión y evaluación de la continuidad de la seguridad de la información</w:t>
            </w:r>
          </w:p>
        </w:tc>
        <w:tc>
          <w:tcPr>
            <w:tcW w:w="2551" w:type="dxa"/>
            <w:shd w:val="clear" w:color="auto" w:fill="auto"/>
            <w:vAlign w:val="center"/>
            <w:hideMark/>
          </w:tcPr>
          <w:p w14:paraId="31FF5C54"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 organización debe verificar a intervalos regulares los controles de continuidad de la seguridad de la información implementados, con el fin de asegurar que son válidos y eficaces durante situaciones adversas.</w:t>
            </w:r>
          </w:p>
        </w:tc>
        <w:tc>
          <w:tcPr>
            <w:tcW w:w="826" w:type="dxa"/>
            <w:shd w:val="clear" w:color="000000" w:fill="008000"/>
            <w:vAlign w:val="center"/>
            <w:hideMark/>
          </w:tcPr>
          <w:p w14:paraId="2C85CE92"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2452788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hacen pruebas a las plantas eléctricas y UPS para garantizar la continuidad de la energía eléctrica.</w:t>
            </w:r>
          </w:p>
        </w:tc>
        <w:tc>
          <w:tcPr>
            <w:tcW w:w="1275" w:type="dxa"/>
            <w:shd w:val="clear" w:color="000000" w:fill="E26B0A"/>
            <w:vAlign w:val="center"/>
            <w:hideMark/>
          </w:tcPr>
          <w:p w14:paraId="0AE6A372"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E26B0A"/>
            <w:vAlign w:val="center"/>
            <w:hideMark/>
          </w:tcPr>
          <w:p w14:paraId="4D18FC11"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Inicial</w:t>
            </w:r>
          </w:p>
        </w:tc>
        <w:tc>
          <w:tcPr>
            <w:tcW w:w="851" w:type="dxa"/>
            <w:shd w:val="clear" w:color="auto" w:fill="auto"/>
            <w:vAlign w:val="center"/>
            <w:hideMark/>
          </w:tcPr>
          <w:p w14:paraId="528B0618"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20%</w:t>
            </w:r>
          </w:p>
        </w:tc>
        <w:tc>
          <w:tcPr>
            <w:tcW w:w="3827" w:type="dxa"/>
            <w:shd w:val="clear" w:color="auto" w:fill="auto"/>
            <w:vAlign w:val="center"/>
            <w:hideMark/>
          </w:tcPr>
          <w:p w14:paraId="3A75B277"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Validar cuales son los servicios que no se encuentran en alta disponibilidad y definir el plan de acción.</w:t>
            </w:r>
            <w:r w:rsidRPr="00795864">
              <w:rPr>
                <w:rFonts w:asciiTheme="majorHAnsi" w:eastAsia="Times New Roman" w:hAnsiTheme="majorHAnsi" w:cstheme="majorHAnsi"/>
                <w:color w:val="000000"/>
                <w:sz w:val="16"/>
                <w:szCs w:val="16"/>
                <w:lang w:val="es-CO" w:eastAsia="es-CO"/>
              </w:rPr>
              <w:br/>
              <w:t>* Definir una política para la continuidad de la seguridad de la información</w:t>
            </w:r>
          </w:p>
        </w:tc>
        <w:tc>
          <w:tcPr>
            <w:tcW w:w="1843" w:type="dxa"/>
          </w:tcPr>
          <w:p w14:paraId="504C60B6"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59879071" w14:textId="77777777" w:rsidTr="004A6248">
        <w:trPr>
          <w:trHeight w:val="20"/>
        </w:trPr>
        <w:tc>
          <w:tcPr>
            <w:tcW w:w="546" w:type="dxa"/>
            <w:shd w:val="clear" w:color="000000" w:fill="538DD5"/>
            <w:vAlign w:val="center"/>
            <w:hideMark/>
          </w:tcPr>
          <w:p w14:paraId="7E04F6DA"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17.2</w:t>
            </w:r>
          </w:p>
        </w:tc>
        <w:tc>
          <w:tcPr>
            <w:tcW w:w="10653" w:type="dxa"/>
            <w:gridSpan w:val="6"/>
            <w:shd w:val="clear" w:color="000000" w:fill="538DD5"/>
            <w:vAlign w:val="center"/>
            <w:hideMark/>
          </w:tcPr>
          <w:p w14:paraId="1F7EFDA3"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Redundancias</w:t>
            </w:r>
          </w:p>
        </w:tc>
        <w:tc>
          <w:tcPr>
            <w:tcW w:w="851" w:type="dxa"/>
            <w:shd w:val="clear" w:color="000000" w:fill="538DD5"/>
            <w:vAlign w:val="center"/>
            <w:hideMark/>
          </w:tcPr>
          <w:p w14:paraId="65D5142E"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40%</w:t>
            </w:r>
          </w:p>
        </w:tc>
        <w:tc>
          <w:tcPr>
            <w:tcW w:w="3827" w:type="dxa"/>
            <w:shd w:val="clear" w:color="000000" w:fill="538DD5"/>
            <w:vAlign w:val="center"/>
            <w:hideMark/>
          </w:tcPr>
          <w:p w14:paraId="3A740ADE"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10D1BE8B"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1973FAA9" w14:textId="77777777" w:rsidTr="004A6248">
        <w:trPr>
          <w:trHeight w:val="20"/>
        </w:trPr>
        <w:tc>
          <w:tcPr>
            <w:tcW w:w="546" w:type="dxa"/>
            <w:shd w:val="clear" w:color="000000" w:fill="538DD5"/>
            <w:vAlign w:val="center"/>
            <w:hideMark/>
          </w:tcPr>
          <w:p w14:paraId="40BD36DD"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35EE80C5"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Asegurar de la disponibilidad de instalaciones de procesamiento de información.</w:t>
            </w:r>
          </w:p>
        </w:tc>
        <w:tc>
          <w:tcPr>
            <w:tcW w:w="851" w:type="dxa"/>
            <w:shd w:val="clear" w:color="000000" w:fill="538DD5"/>
            <w:vAlign w:val="center"/>
            <w:hideMark/>
          </w:tcPr>
          <w:p w14:paraId="19CEE028"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3827" w:type="dxa"/>
            <w:shd w:val="clear" w:color="000000" w:fill="538DD5"/>
            <w:vAlign w:val="center"/>
            <w:hideMark/>
          </w:tcPr>
          <w:p w14:paraId="307A2929"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843" w:type="dxa"/>
            <w:shd w:val="clear" w:color="000000" w:fill="538DD5"/>
          </w:tcPr>
          <w:p w14:paraId="5989E06F" w14:textId="77777777" w:rsidR="004A6248" w:rsidRPr="00795864" w:rsidRDefault="004A6248" w:rsidP="000F099B">
            <w:pPr>
              <w:rPr>
                <w:rFonts w:asciiTheme="majorHAnsi" w:eastAsia="Times New Roman" w:hAnsiTheme="majorHAnsi" w:cstheme="majorHAnsi"/>
                <w:color w:val="FFFFFF"/>
                <w:sz w:val="16"/>
                <w:szCs w:val="16"/>
                <w:lang w:val="es-CO" w:eastAsia="es-CO"/>
              </w:rPr>
            </w:pPr>
          </w:p>
        </w:tc>
      </w:tr>
      <w:tr w:rsidR="004A6248" w:rsidRPr="00795864" w14:paraId="7E442B8C" w14:textId="77777777" w:rsidTr="004A6248">
        <w:trPr>
          <w:trHeight w:val="3644"/>
        </w:trPr>
        <w:tc>
          <w:tcPr>
            <w:tcW w:w="546" w:type="dxa"/>
            <w:shd w:val="clear" w:color="auto" w:fill="auto"/>
            <w:vAlign w:val="center"/>
            <w:hideMark/>
          </w:tcPr>
          <w:p w14:paraId="1163F44C"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lastRenderedPageBreak/>
              <w:t>17.2.1</w:t>
            </w:r>
          </w:p>
        </w:tc>
        <w:tc>
          <w:tcPr>
            <w:tcW w:w="1156" w:type="dxa"/>
            <w:shd w:val="clear" w:color="auto" w:fill="auto"/>
            <w:vAlign w:val="center"/>
            <w:hideMark/>
          </w:tcPr>
          <w:p w14:paraId="429FC55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Disponibilidad de instalaciones de procesamiento de información.</w:t>
            </w:r>
          </w:p>
        </w:tc>
        <w:tc>
          <w:tcPr>
            <w:tcW w:w="2551" w:type="dxa"/>
            <w:shd w:val="clear" w:color="auto" w:fill="auto"/>
            <w:vAlign w:val="center"/>
            <w:hideMark/>
          </w:tcPr>
          <w:p w14:paraId="0662DAF3"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Las instalaciones de procesamiento de información se deben implementar con redundancia suficiente para cumplir los requisitos de disponibilidad.</w:t>
            </w:r>
          </w:p>
        </w:tc>
        <w:tc>
          <w:tcPr>
            <w:tcW w:w="826" w:type="dxa"/>
            <w:shd w:val="clear" w:color="000000" w:fill="008000"/>
            <w:vAlign w:val="center"/>
            <w:hideMark/>
          </w:tcPr>
          <w:p w14:paraId="19765A2C"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6C6DFEC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 No se cuenta con </w:t>
            </w:r>
            <w:proofErr w:type="spellStart"/>
            <w:r w:rsidRPr="00795864">
              <w:rPr>
                <w:rFonts w:asciiTheme="majorHAnsi" w:eastAsia="Times New Roman" w:hAnsiTheme="majorHAnsi" w:cstheme="majorHAnsi"/>
                <w:color w:val="000000"/>
                <w:sz w:val="16"/>
                <w:szCs w:val="16"/>
                <w:lang w:val="es-CO" w:eastAsia="es-CO"/>
              </w:rPr>
              <w:t>DataCenter</w:t>
            </w:r>
            <w:proofErr w:type="spellEnd"/>
            <w:r w:rsidRPr="00795864">
              <w:rPr>
                <w:rFonts w:asciiTheme="majorHAnsi" w:eastAsia="Times New Roman" w:hAnsiTheme="majorHAnsi" w:cstheme="majorHAnsi"/>
                <w:color w:val="000000"/>
                <w:sz w:val="16"/>
                <w:szCs w:val="16"/>
                <w:lang w:val="es-CO" w:eastAsia="es-CO"/>
              </w:rPr>
              <w:t xml:space="preserve"> alterno.</w:t>
            </w:r>
            <w:r w:rsidRPr="00795864">
              <w:rPr>
                <w:rFonts w:asciiTheme="majorHAnsi" w:eastAsia="Times New Roman" w:hAnsiTheme="majorHAnsi" w:cstheme="majorHAnsi"/>
                <w:color w:val="000000"/>
                <w:sz w:val="16"/>
                <w:szCs w:val="16"/>
                <w:lang w:val="es-CO" w:eastAsia="es-CO"/>
              </w:rPr>
              <w:br/>
              <w:t>* Se tiene alta disponibilidad de las plataformas y las soluciones más críticas, como:</w:t>
            </w:r>
            <w:r w:rsidRPr="00795864">
              <w:rPr>
                <w:rFonts w:asciiTheme="majorHAnsi" w:eastAsia="Times New Roman" w:hAnsiTheme="majorHAnsi" w:cstheme="majorHAnsi"/>
                <w:color w:val="000000"/>
                <w:sz w:val="16"/>
                <w:szCs w:val="16"/>
                <w:lang w:val="es-CO" w:eastAsia="es-CO"/>
              </w:rPr>
              <w:br/>
              <w:t>- Se tiene el servicio SQL server en clúster</w:t>
            </w:r>
            <w:r w:rsidRPr="00795864">
              <w:rPr>
                <w:rFonts w:asciiTheme="majorHAnsi" w:eastAsia="Times New Roman" w:hAnsiTheme="majorHAnsi" w:cstheme="majorHAnsi"/>
                <w:color w:val="000000"/>
                <w:sz w:val="16"/>
                <w:szCs w:val="16"/>
                <w:lang w:val="es-CO" w:eastAsia="es-CO"/>
              </w:rPr>
              <w:br/>
              <w:t>- Se tiene el servicio de Exchange DAC alta disponibilidad (configuración manual)</w:t>
            </w:r>
            <w:r w:rsidRPr="00795864">
              <w:rPr>
                <w:rFonts w:asciiTheme="majorHAnsi" w:eastAsia="Times New Roman" w:hAnsiTheme="majorHAnsi" w:cstheme="majorHAnsi"/>
                <w:color w:val="000000"/>
                <w:sz w:val="16"/>
                <w:szCs w:val="16"/>
                <w:lang w:val="es-CO" w:eastAsia="es-CO"/>
              </w:rPr>
              <w:br/>
              <w:t>- Directorio activo en alta disponibilidad</w:t>
            </w:r>
            <w:r w:rsidRPr="00795864">
              <w:rPr>
                <w:rFonts w:asciiTheme="majorHAnsi" w:eastAsia="Times New Roman" w:hAnsiTheme="majorHAnsi" w:cstheme="majorHAnsi"/>
                <w:color w:val="000000"/>
                <w:sz w:val="16"/>
                <w:szCs w:val="16"/>
                <w:lang w:val="es-CO" w:eastAsia="es-CO"/>
              </w:rPr>
              <w:br/>
              <w:t>- Firewall en alta disponibilidad</w:t>
            </w:r>
            <w:r w:rsidRPr="00795864">
              <w:rPr>
                <w:rFonts w:asciiTheme="majorHAnsi" w:eastAsia="Times New Roman" w:hAnsiTheme="majorHAnsi" w:cstheme="majorHAnsi"/>
                <w:color w:val="000000"/>
                <w:sz w:val="16"/>
                <w:szCs w:val="16"/>
                <w:lang w:val="es-CO" w:eastAsia="es-CO"/>
              </w:rPr>
              <w:br/>
              <w:t>- Se tiene un Switch Core con fuente redundante</w:t>
            </w:r>
            <w:r w:rsidRPr="00795864">
              <w:rPr>
                <w:rFonts w:asciiTheme="majorHAnsi" w:eastAsia="Times New Roman" w:hAnsiTheme="majorHAnsi" w:cstheme="majorHAnsi"/>
                <w:color w:val="000000"/>
                <w:sz w:val="16"/>
                <w:szCs w:val="16"/>
                <w:lang w:val="es-CO" w:eastAsia="es-CO"/>
              </w:rPr>
              <w:br/>
              <w:t>- Se tienen 2 switches de SAN en alta disponibilidad</w:t>
            </w:r>
            <w:r w:rsidRPr="00795864">
              <w:rPr>
                <w:rFonts w:asciiTheme="majorHAnsi" w:eastAsia="Times New Roman" w:hAnsiTheme="majorHAnsi" w:cstheme="majorHAnsi"/>
                <w:color w:val="000000"/>
                <w:sz w:val="16"/>
                <w:szCs w:val="16"/>
                <w:lang w:val="es-CO" w:eastAsia="es-CO"/>
              </w:rPr>
              <w:br/>
              <w:t>* Se cuenta con el servicio de Asure, para tener servidores en la nube, actualmente solo se tiene la aplicación de trasplantes, el cual cuenta con procedimiento para ponerlo en operación de ser necesario.</w:t>
            </w:r>
            <w:r w:rsidRPr="00795864">
              <w:rPr>
                <w:rFonts w:asciiTheme="majorHAnsi" w:eastAsia="Times New Roman" w:hAnsiTheme="majorHAnsi" w:cstheme="majorHAnsi"/>
                <w:color w:val="000000"/>
                <w:sz w:val="16"/>
                <w:szCs w:val="16"/>
                <w:lang w:val="es-CO" w:eastAsia="es-CO"/>
              </w:rPr>
              <w:br/>
              <w:t>* No se tienen planes para garantizar la seguridad de la información ante un desastre o contingencia.</w:t>
            </w:r>
          </w:p>
        </w:tc>
        <w:tc>
          <w:tcPr>
            <w:tcW w:w="1275" w:type="dxa"/>
            <w:shd w:val="clear" w:color="000000" w:fill="E26B0A"/>
            <w:vAlign w:val="center"/>
            <w:hideMark/>
          </w:tcPr>
          <w:p w14:paraId="52D52736"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FFFF00"/>
            <w:vAlign w:val="center"/>
            <w:hideMark/>
          </w:tcPr>
          <w:p w14:paraId="564E1E8E"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Repetible</w:t>
            </w:r>
          </w:p>
        </w:tc>
        <w:tc>
          <w:tcPr>
            <w:tcW w:w="851" w:type="dxa"/>
            <w:shd w:val="clear" w:color="auto" w:fill="auto"/>
            <w:vAlign w:val="center"/>
            <w:hideMark/>
          </w:tcPr>
          <w:p w14:paraId="0DF7028F"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40%</w:t>
            </w:r>
          </w:p>
        </w:tc>
        <w:tc>
          <w:tcPr>
            <w:tcW w:w="3827" w:type="dxa"/>
            <w:shd w:val="clear" w:color="auto" w:fill="auto"/>
            <w:vAlign w:val="center"/>
            <w:hideMark/>
          </w:tcPr>
          <w:p w14:paraId="5829DAAD"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Validar cuales son los servicios que no se encuentran en alta disponibilidad y definir el plan de acción.</w:t>
            </w:r>
            <w:r w:rsidRPr="00795864">
              <w:rPr>
                <w:rFonts w:asciiTheme="majorHAnsi" w:eastAsia="Times New Roman" w:hAnsiTheme="majorHAnsi" w:cstheme="majorHAnsi"/>
                <w:color w:val="000000"/>
                <w:sz w:val="16"/>
                <w:szCs w:val="16"/>
                <w:lang w:val="es-CO" w:eastAsia="es-CO"/>
              </w:rPr>
              <w:br/>
              <w:t>* Definir una política para la continuidad de la seguridad de la información</w:t>
            </w:r>
          </w:p>
        </w:tc>
        <w:tc>
          <w:tcPr>
            <w:tcW w:w="1843" w:type="dxa"/>
          </w:tcPr>
          <w:p w14:paraId="58B6F790"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470770BC" w14:textId="77777777" w:rsidTr="004A6248">
        <w:trPr>
          <w:trHeight w:val="20"/>
        </w:trPr>
        <w:tc>
          <w:tcPr>
            <w:tcW w:w="546" w:type="dxa"/>
            <w:shd w:val="clear" w:color="000000" w:fill="1F497D"/>
            <w:vAlign w:val="center"/>
            <w:hideMark/>
          </w:tcPr>
          <w:p w14:paraId="18478AB4"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18</w:t>
            </w:r>
          </w:p>
        </w:tc>
        <w:tc>
          <w:tcPr>
            <w:tcW w:w="10653" w:type="dxa"/>
            <w:gridSpan w:val="6"/>
            <w:shd w:val="clear" w:color="000000" w:fill="1F497D"/>
            <w:vAlign w:val="center"/>
            <w:hideMark/>
          </w:tcPr>
          <w:p w14:paraId="0BA0E426"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CUMPLIMIENTO</w:t>
            </w:r>
          </w:p>
        </w:tc>
        <w:tc>
          <w:tcPr>
            <w:tcW w:w="851" w:type="dxa"/>
            <w:shd w:val="clear" w:color="000000" w:fill="1F497D"/>
            <w:vAlign w:val="center"/>
            <w:hideMark/>
          </w:tcPr>
          <w:p w14:paraId="365D4798"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51%</w:t>
            </w:r>
          </w:p>
        </w:tc>
        <w:tc>
          <w:tcPr>
            <w:tcW w:w="3827" w:type="dxa"/>
            <w:shd w:val="clear" w:color="000000" w:fill="1F497D"/>
            <w:vAlign w:val="center"/>
            <w:hideMark/>
          </w:tcPr>
          <w:p w14:paraId="33905821"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1F497D"/>
          </w:tcPr>
          <w:p w14:paraId="4391AF86"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48BB9BA3" w14:textId="77777777" w:rsidTr="004A6248">
        <w:trPr>
          <w:trHeight w:val="20"/>
        </w:trPr>
        <w:tc>
          <w:tcPr>
            <w:tcW w:w="546" w:type="dxa"/>
            <w:shd w:val="clear" w:color="000000" w:fill="538DD5"/>
            <w:vAlign w:val="center"/>
            <w:hideMark/>
          </w:tcPr>
          <w:p w14:paraId="037CB9F6"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18.1</w:t>
            </w:r>
          </w:p>
        </w:tc>
        <w:tc>
          <w:tcPr>
            <w:tcW w:w="10653" w:type="dxa"/>
            <w:gridSpan w:val="6"/>
            <w:shd w:val="clear" w:color="000000" w:fill="538DD5"/>
            <w:vAlign w:val="center"/>
            <w:hideMark/>
          </w:tcPr>
          <w:p w14:paraId="62F6C7CA"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Cumplimiento de requisitos legales y contractuales</w:t>
            </w:r>
          </w:p>
        </w:tc>
        <w:tc>
          <w:tcPr>
            <w:tcW w:w="851" w:type="dxa"/>
            <w:shd w:val="clear" w:color="000000" w:fill="538DD5"/>
            <w:vAlign w:val="center"/>
            <w:hideMark/>
          </w:tcPr>
          <w:p w14:paraId="305B7DC8"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76%</w:t>
            </w:r>
          </w:p>
        </w:tc>
        <w:tc>
          <w:tcPr>
            <w:tcW w:w="3827" w:type="dxa"/>
            <w:shd w:val="clear" w:color="000000" w:fill="538DD5"/>
            <w:vAlign w:val="center"/>
            <w:hideMark/>
          </w:tcPr>
          <w:p w14:paraId="40F51CA0"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1657FE18"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0D1D8298" w14:textId="77777777" w:rsidTr="004A6248">
        <w:trPr>
          <w:trHeight w:val="20"/>
        </w:trPr>
        <w:tc>
          <w:tcPr>
            <w:tcW w:w="546" w:type="dxa"/>
            <w:shd w:val="clear" w:color="000000" w:fill="538DD5"/>
            <w:vAlign w:val="center"/>
            <w:hideMark/>
          </w:tcPr>
          <w:p w14:paraId="604E898A"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3FFF5E5B"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Evitar incumplimiento de las obligaciones legales, estatutarias, reglamentarias o contractuales relacionadas con seguridad de la información y de cualquier requisito de seguridad.</w:t>
            </w:r>
          </w:p>
        </w:tc>
        <w:tc>
          <w:tcPr>
            <w:tcW w:w="851" w:type="dxa"/>
            <w:shd w:val="clear" w:color="000000" w:fill="538DD5"/>
            <w:vAlign w:val="center"/>
            <w:hideMark/>
          </w:tcPr>
          <w:p w14:paraId="42D3A020"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3827" w:type="dxa"/>
            <w:shd w:val="clear" w:color="000000" w:fill="538DD5"/>
            <w:vAlign w:val="center"/>
            <w:hideMark/>
          </w:tcPr>
          <w:p w14:paraId="4BB2C803"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843" w:type="dxa"/>
            <w:shd w:val="clear" w:color="000000" w:fill="538DD5"/>
          </w:tcPr>
          <w:p w14:paraId="24AFF382" w14:textId="77777777" w:rsidR="004A6248" w:rsidRPr="00795864" w:rsidRDefault="004A6248" w:rsidP="000F099B">
            <w:pPr>
              <w:rPr>
                <w:rFonts w:asciiTheme="majorHAnsi" w:eastAsia="Times New Roman" w:hAnsiTheme="majorHAnsi" w:cstheme="majorHAnsi"/>
                <w:color w:val="FFFFFF"/>
                <w:sz w:val="16"/>
                <w:szCs w:val="16"/>
                <w:lang w:val="es-CO" w:eastAsia="es-CO"/>
              </w:rPr>
            </w:pPr>
          </w:p>
        </w:tc>
      </w:tr>
      <w:tr w:rsidR="004A6248" w:rsidRPr="00795864" w14:paraId="37C46C4F" w14:textId="77777777" w:rsidTr="004A6248">
        <w:trPr>
          <w:trHeight w:val="20"/>
        </w:trPr>
        <w:tc>
          <w:tcPr>
            <w:tcW w:w="546" w:type="dxa"/>
            <w:shd w:val="clear" w:color="auto" w:fill="auto"/>
            <w:vAlign w:val="center"/>
            <w:hideMark/>
          </w:tcPr>
          <w:p w14:paraId="4027B5D2"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18.1.1</w:t>
            </w:r>
          </w:p>
        </w:tc>
        <w:tc>
          <w:tcPr>
            <w:tcW w:w="1156" w:type="dxa"/>
            <w:shd w:val="clear" w:color="auto" w:fill="auto"/>
            <w:vAlign w:val="center"/>
            <w:hideMark/>
          </w:tcPr>
          <w:p w14:paraId="4E77006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Identificación de la legislación aplicable y los requisitos contractuales</w:t>
            </w:r>
          </w:p>
        </w:tc>
        <w:tc>
          <w:tcPr>
            <w:tcW w:w="2551" w:type="dxa"/>
            <w:shd w:val="clear" w:color="auto" w:fill="auto"/>
            <w:vAlign w:val="center"/>
            <w:hideMark/>
          </w:tcPr>
          <w:p w14:paraId="46570AF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Todos los requisitos estatutarios, reglamentarios y contractuales pertinentes, así como el enfoque de la organización para cumplir estos requisitos se deben identificar explícitamente, documentar y mantener actualizados para cada sistema de información y para la organización.</w:t>
            </w:r>
          </w:p>
        </w:tc>
        <w:tc>
          <w:tcPr>
            <w:tcW w:w="826" w:type="dxa"/>
            <w:shd w:val="clear" w:color="000000" w:fill="008000"/>
            <w:vAlign w:val="center"/>
            <w:hideMark/>
          </w:tcPr>
          <w:p w14:paraId="144D861F"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7D1F108D"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tienen identificados los decretos, leyes, circulares y acuerdos que le aplican a la institución en la página web de la institución.</w:t>
            </w:r>
          </w:p>
        </w:tc>
        <w:tc>
          <w:tcPr>
            <w:tcW w:w="1275" w:type="dxa"/>
            <w:shd w:val="clear" w:color="000000" w:fill="92D050"/>
            <w:vAlign w:val="center"/>
            <w:hideMark/>
          </w:tcPr>
          <w:p w14:paraId="2BCAE164"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SI</w:t>
            </w:r>
          </w:p>
        </w:tc>
        <w:tc>
          <w:tcPr>
            <w:tcW w:w="1276" w:type="dxa"/>
            <w:shd w:val="clear" w:color="000000" w:fill="0070C0"/>
            <w:vAlign w:val="center"/>
            <w:hideMark/>
          </w:tcPr>
          <w:p w14:paraId="21359006"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1EE2EFBA"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0313793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Identificar los requisitos legales en materia de seguridad de la información que le aplican al INS y aplicarlos.</w:t>
            </w:r>
          </w:p>
        </w:tc>
        <w:tc>
          <w:tcPr>
            <w:tcW w:w="1843" w:type="dxa"/>
          </w:tcPr>
          <w:p w14:paraId="1D1E8AED"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06C40E01" w14:textId="77777777" w:rsidTr="004A6248">
        <w:trPr>
          <w:trHeight w:val="20"/>
        </w:trPr>
        <w:tc>
          <w:tcPr>
            <w:tcW w:w="546" w:type="dxa"/>
            <w:shd w:val="clear" w:color="auto" w:fill="auto"/>
            <w:vAlign w:val="center"/>
            <w:hideMark/>
          </w:tcPr>
          <w:p w14:paraId="057BE4C0"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18.1.2</w:t>
            </w:r>
          </w:p>
        </w:tc>
        <w:tc>
          <w:tcPr>
            <w:tcW w:w="1156" w:type="dxa"/>
            <w:shd w:val="clear" w:color="auto" w:fill="auto"/>
            <w:vAlign w:val="center"/>
            <w:hideMark/>
          </w:tcPr>
          <w:p w14:paraId="7D034940"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Derechos de propiedad intelectual</w:t>
            </w:r>
          </w:p>
        </w:tc>
        <w:tc>
          <w:tcPr>
            <w:tcW w:w="2551" w:type="dxa"/>
            <w:shd w:val="clear" w:color="auto" w:fill="auto"/>
            <w:vAlign w:val="center"/>
            <w:hideMark/>
          </w:tcPr>
          <w:p w14:paraId="021E229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implementar procedimientos apropiados para asegurar el cumplimiento de los requisitos legales, reglamentarios y contractuales relacionados con los derechos de propiedad intelectual y el uso de productos de software patentados.</w:t>
            </w:r>
          </w:p>
        </w:tc>
        <w:tc>
          <w:tcPr>
            <w:tcW w:w="826" w:type="dxa"/>
            <w:shd w:val="clear" w:color="000000" w:fill="008000"/>
            <w:vAlign w:val="center"/>
            <w:hideMark/>
          </w:tcPr>
          <w:p w14:paraId="59221548"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0B9752DD"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Existe un comité propiedad intelectual, donde se trata este tema y se establecen acuerdos, clausulas y convenios.</w:t>
            </w:r>
            <w:r w:rsidRPr="00795864">
              <w:rPr>
                <w:rFonts w:asciiTheme="majorHAnsi" w:eastAsia="Times New Roman" w:hAnsiTheme="majorHAnsi" w:cstheme="majorHAnsi"/>
                <w:color w:val="000000"/>
                <w:sz w:val="16"/>
                <w:szCs w:val="16"/>
                <w:lang w:val="es-CO" w:eastAsia="es-CO"/>
              </w:rPr>
              <w:br/>
              <w:t>* La OTIC adicionalmente cuenta con un acuerdo de propiedad intelectual para desarrolladores.</w:t>
            </w:r>
          </w:p>
        </w:tc>
        <w:tc>
          <w:tcPr>
            <w:tcW w:w="1275" w:type="dxa"/>
            <w:shd w:val="clear" w:color="000000" w:fill="92D050"/>
            <w:vAlign w:val="center"/>
            <w:hideMark/>
          </w:tcPr>
          <w:p w14:paraId="47529B63"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SI</w:t>
            </w:r>
          </w:p>
        </w:tc>
        <w:tc>
          <w:tcPr>
            <w:tcW w:w="1276" w:type="dxa"/>
            <w:shd w:val="clear" w:color="000000" w:fill="0070C0"/>
            <w:vAlign w:val="center"/>
            <w:hideMark/>
          </w:tcPr>
          <w:p w14:paraId="471FFA29"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30CCBE87"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39B60D6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Definir procedimientos para asegurar el cumplimiento de los requisitos legales, reglamentarios y contractuales relacionados con los derechos de propiedad intelectual y el uso de productos de software patentados.</w:t>
            </w:r>
          </w:p>
        </w:tc>
        <w:tc>
          <w:tcPr>
            <w:tcW w:w="1843" w:type="dxa"/>
          </w:tcPr>
          <w:p w14:paraId="182CB90E"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7A38983B" w14:textId="77777777" w:rsidTr="004A6248">
        <w:trPr>
          <w:trHeight w:val="20"/>
        </w:trPr>
        <w:tc>
          <w:tcPr>
            <w:tcW w:w="546" w:type="dxa"/>
            <w:shd w:val="clear" w:color="auto" w:fill="auto"/>
            <w:vAlign w:val="center"/>
            <w:hideMark/>
          </w:tcPr>
          <w:p w14:paraId="2A59ED85"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18.1.</w:t>
            </w:r>
            <w:r w:rsidRPr="00795864">
              <w:rPr>
                <w:rFonts w:asciiTheme="majorHAnsi" w:eastAsia="Times New Roman" w:hAnsiTheme="majorHAnsi" w:cstheme="majorHAnsi"/>
                <w:color w:val="000000"/>
                <w:sz w:val="16"/>
                <w:szCs w:val="16"/>
                <w:lang w:val="es-CO" w:eastAsia="es-CO"/>
              </w:rPr>
              <w:lastRenderedPageBreak/>
              <w:t>3</w:t>
            </w:r>
          </w:p>
        </w:tc>
        <w:tc>
          <w:tcPr>
            <w:tcW w:w="1156" w:type="dxa"/>
            <w:shd w:val="clear" w:color="auto" w:fill="auto"/>
            <w:vAlign w:val="center"/>
            <w:hideMark/>
          </w:tcPr>
          <w:p w14:paraId="56F9C0C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lastRenderedPageBreak/>
              <w:t xml:space="preserve">Protección de </w:t>
            </w:r>
            <w:r w:rsidRPr="00795864">
              <w:rPr>
                <w:rFonts w:asciiTheme="majorHAnsi" w:eastAsia="Times New Roman" w:hAnsiTheme="majorHAnsi" w:cstheme="majorHAnsi"/>
                <w:color w:val="000000"/>
                <w:sz w:val="16"/>
                <w:szCs w:val="16"/>
                <w:lang w:val="es-CO" w:eastAsia="es-CO"/>
              </w:rPr>
              <w:lastRenderedPageBreak/>
              <w:t>registros</w:t>
            </w:r>
          </w:p>
        </w:tc>
        <w:tc>
          <w:tcPr>
            <w:tcW w:w="2551" w:type="dxa"/>
            <w:shd w:val="clear" w:color="auto" w:fill="auto"/>
            <w:vAlign w:val="center"/>
            <w:hideMark/>
          </w:tcPr>
          <w:p w14:paraId="4665C51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lastRenderedPageBreak/>
              <w:t xml:space="preserve">Los registros se deben proteger </w:t>
            </w:r>
            <w:r w:rsidRPr="00795864">
              <w:rPr>
                <w:rFonts w:asciiTheme="majorHAnsi" w:eastAsia="Times New Roman" w:hAnsiTheme="majorHAnsi" w:cstheme="majorHAnsi"/>
                <w:color w:val="000000"/>
                <w:sz w:val="16"/>
                <w:szCs w:val="16"/>
                <w:lang w:val="es-CO" w:eastAsia="es-CO"/>
              </w:rPr>
              <w:lastRenderedPageBreak/>
              <w:t xml:space="preserve">contra pérdida, destrucción, falsificación, acceso no autorizado y liberación no autorizada, de acuerdo con los requisitos </w:t>
            </w:r>
            <w:proofErr w:type="spellStart"/>
            <w:r w:rsidRPr="00795864">
              <w:rPr>
                <w:rFonts w:asciiTheme="majorHAnsi" w:eastAsia="Times New Roman" w:hAnsiTheme="majorHAnsi" w:cstheme="majorHAnsi"/>
                <w:color w:val="000000"/>
                <w:sz w:val="16"/>
                <w:szCs w:val="16"/>
                <w:lang w:val="es-CO" w:eastAsia="es-CO"/>
              </w:rPr>
              <w:t>legislatorios</w:t>
            </w:r>
            <w:proofErr w:type="spellEnd"/>
            <w:r w:rsidRPr="00795864">
              <w:rPr>
                <w:rFonts w:asciiTheme="majorHAnsi" w:eastAsia="Times New Roman" w:hAnsiTheme="majorHAnsi" w:cstheme="majorHAnsi"/>
                <w:color w:val="000000"/>
                <w:sz w:val="16"/>
                <w:szCs w:val="16"/>
                <w:lang w:val="es-CO" w:eastAsia="es-CO"/>
              </w:rPr>
              <w:t>, reglamentarios, contractuales y de negocio.</w:t>
            </w:r>
          </w:p>
        </w:tc>
        <w:tc>
          <w:tcPr>
            <w:tcW w:w="826" w:type="dxa"/>
            <w:shd w:val="clear" w:color="000000" w:fill="008000"/>
            <w:vAlign w:val="center"/>
            <w:hideMark/>
          </w:tcPr>
          <w:p w14:paraId="49462C83"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lastRenderedPageBreak/>
              <w:t>Aplica</w:t>
            </w:r>
          </w:p>
        </w:tc>
        <w:tc>
          <w:tcPr>
            <w:tcW w:w="3569" w:type="dxa"/>
            <w:shd w:val="clear" w:color="auto" w:fill="auto"/>
            <w:vAlign w:val="center"/>
            <w:hideMark/>
          </w:tcPr>
          <w:p w14:paraId="242689C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Los registros físicos son custodiados por cada </w:t>
            </w:r>
            <w:r w:rsidRPr="00795864">
              <w:rPr>
                <w:rFonts w:asciiTheme="majorHAnsi" w:eastAsia="Times New Roman" w:hAnsiTheme="majorHAnsi" w:cstheme="majorHAnsi"/>
                <w:color w:val="000000"/>
                <w:sz w:val="16"/>
                <w:szCs w:val="16"/>
                <w:lang w:val="es-CO" w:eastAsia="es-CO"/>
              </w:rPr>
              <w:lastRenderedPageBreak/>
              <w:t>grupo de cada dirección.</w:t>
            </w:r>
          </w:p>
        </w:tc>
        <w:tc>
          <w:tcPr>
            <w:tcW w:w="1275" w:type="dxa"/>
            <w:shd w:val="clear" w:color="000000" w:fill="92D050"/>
            <w:vAlign w:val="center"/>
            <w:hideMark/>
          </w:tcPr>
          <w:p w14:paraId="7580C8F2"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lastRenderedPageBreak/>
              <w:t>SI</w:t>
            </w:r>
          </w:p>
        </w:tc>
        <w:tc>
          <w:tcPr>
            <w:tcW w:w="1276" w:type="dxa"/>
            <w:shd w:val="clear" w:color="000000" w:fill="0070C0"/>
            <w:vAlign w:val="center"/>
            <w:hideMark/>
          </w:tcPr>
          <w:p w14:paraId="68A9DF74"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57EE4293"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6A7CEEA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Implementar controles para asegurar la protección </w:t>
            </w:r>
            <w:r w:rsidRPr="00795864">
              <w:rPr>
                <w:rFonts w:asciiTheme="majorHAnsi" w:eastAsia="Times New Roman" w:hAnsiTheme="majorHAnsi" w:cstheme="majorHAnsi"/>
                <w:color w:val="000000"/>
                <w:sz w:val="16"/>
                <w:szCs w:val="16"/>
                <w:lang w:val="es-CO" w:eastAsia="es-CO"/>
              </w:rPr>
              <w:lastRenderedPageBreak/>
              <w:t xml:space="preserve">adecuada de los registros contra pérdida, destrucción, falsificación, acceso no autorizado y liberación no autorizada, de acuerdo con los requisitos </w:t>
            </w:r>
            <w:proofErr w:type="spellStart"/>
            <w:r w:rsidRPr="00795864">
              <w:rPr>
                <w:rFonts w:asciiTheme="majorHAnsi" w:eastAsia="Times New Roman" w:hAnsiTheme="majorHAnsi" w:cstheme="majorHAnsi"/>
                <w:color w:val="000000"/>
                <w:sz w:val="16"/>
                <w:szCs w:val="16"/>
                <w:lang w:val="es-CO" w:eastAsia="es-CO"/>
              </w:rPr>
              <w:t>legislatorios</w:t>
            </w:r>
            <w:proofErr w:type="spellEnd"/>
            <w:r w:rsidRPr="00795864">
              <w:rPr>
                <w:rFonts w:asciiTheme="majorHAnsi" w:eastAsia="Times New Roman" w:hAnsiTheme="majorHAnsi" w:cstheme="majorHAnsi"/>
                <w:color w:val="000000"/>
                <w:sz w:val="16"/>
                <w:szCs w:val="16"/>
                <w:lang w:val="es-CO" w:eastAsia="es-CO"/>
              </w:rPr>
              <w:t>, reglamentarios, contractuales y de negocio.</w:t>
            </w:r>
          </w:p>
        </w:tc>
        <w:tc>
          <w:tcPr>
            <w:tcW w:w="1843" w:type="dxa"/>
          </w:tcPr>
          <w:p w14:paraId="55DC29B3"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2D268EE2" w14:textId="77777777" w:rsidTr="004A6248">
        <w:trPr>
          <w:trHeight w:val="20"/>
        </w:trPr>
        <w:tc>
          <w:tcPr>
            <w:tcW w:w="546" w:type="dxa"/>
            <w:shd w:val="clear" w:color="auto" w:fill="auto"/>
            <w:vAlign w:val="center"/>
            <w:hideMark/>
          </w:tcPr>
          <w:p w14:paraId="68351853"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18.1.4</w:t>
            </w:r>
          </w:p>
        </w:tc>
        <w:tc>
          <w:tcPr>
            <w:tcW w:w="1156" w:type="dxa"/>
            <w:shd w:val="clear" w:color="auto" w:fill="auto"/>
            <w:vAlign w:val="center"/>
            <w:hideMark/>
          </w:tcPr>
          <w:p w14:paraId="57F322F5"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Privacidad y protección de información de identificación personal (datos personales)</w:t>
            </w:r>
          </w:p>
        </w:tc>
        <w:tc>
          <w:tcPr>
            <w:tcW w:w="2551" w:type="dxa"/>
            <w:shd w:val="clear" w:color="auto" w:fill="auto"/>
            <w:vAlign w:val="center"/>
            <w:hideMark/>
          </w:tcPr>
          <w:p w14:paraId="2591060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asegurar la privacidad y la protección de la información identificable personalmente, como se exige en la legislación y la reglamentación pertinentes, cuando sea aplicable.</w:t>
            </w:r>
          </w:p>
        </w:tc>
        <w:tc>
          <w:tcPr>
            <w:tcW w:w="826" w:type="dxa"/>
            <w:shd w:val="clear" w:color="000000" w:fill="008000"/>
            <w:vAlign w:val="center"/>
            <w:hideMark/>
          </w:tcPr>
          <w:p w14:paraId="47A1A332"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1EFE8EC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Actualmente se cuenta con una política de protección de datos personales.</w:t>
            </w:r>
            <w:r w:rsidRPr="00795864">
              <w:rPr>
                <w:rFonts w:asciiTheme="majorHAnsi" w:eastAsia="Times New Roman" w:hAnsiTheme="majorHAnsi" w:cstheme="majorHAnsi"/>
                <w:color w:val="000000"/>
                <w:sz w:val="16"/>
                <w:szCs w:val="16"/>
                <w:lang w:val="es-CO" w:eastAsia="es-CO"/>
              </w:rPr>
              <w:br/>
              <w:t>* Se tienen formato de autorización de manejo de datos personales.</w:t>
            </w:r>
            <w:r w:rsidRPr="00795864">
              <w:rPr>
                <w:rFonts w:asciiTheme="majorHAnsi" w:eastAsia="Times New Roman" w:hAnsiTheme="majorHAnsi" w:cstheme="majorHAnsi"/>
                <w:color w:val="000000"/>
                <w:sz w:val="16"/>
                <w:szCs w:val="16"/>
                <w:lang w:val="es-CO" w:eastAsia="es-CO"/>
              </w:rPr>
              <w:br/>
              <w:t>* Se tienen avisos en algunos sistemas de información publicados en internet, donde le indica al usuario que sus datos serán tratados conforme la Ley 1581.</w:t>
            </w:r>
            <w:r w:rsidRPr="00795864">
              <w:rPr>
                <w:rFonts w:asciiTheme="majorHAnsi" w:eastAsia="Times New Roman" w:hAnsiTheme="majorHAnsi" w:cstheme="majorHAnsi"/>
                <w:color w:val="000000"/>
                <w:sz w:val="16"/>
                <w:szCs w:val="16"/>
                <w:lang w:val="es-CO" w:eastAsia="es-CO"/>
              </w:rPr>
              <w:br/>
              <w:t>* Faltan algunos mecanismos establecidos en la ley 1581, por lo que la consultoría que se está llevando a cabo incluye un diagnóstico y recomendaciones para dar cumplimiento con la Ley de protección de datos personales y sus correspondientes decretos.</w:t>
            </w:r>
          </w:p>
        </w:tc>
        <w:tc>
          <w:tcPr>
            <w:tcW w:w="1275" w:type="dxa"/>
            <w:shd w:val="clear" w:color="000000" w:fill="E26B0A"/>
            <w:vAlign w:val="center"/>
            <w:hideMark/>
          </w:tcPr>
          <w:p w14:paraId="26B84B6D"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B0F0"/>
            <w:vAlign w:val="center"/>
            <w:hideMark/>
          </w:tcPr>
          <w:p w14:paraId="073253FE"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Definido</w:t>
            </w:r>
          </w:p>
        </w:tc>
        <w:tc>
          <w:tcPr>
            <w:tcW w:w="851" w:type="dxa"/>
            <w:shd w:val="clear" w:color="auto" w:fill="auto"/>
            <w:vAlign w:val="center"/>
            <w:hideMark/>
          </w:tcPr>
          <w:p w14:paraId="30CCDE03"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60%</w:t>
            </w:r>
          </w:p>
        </w:tc>
        <w:tc>
          <w:tcPr>
            <w:tcW w:w="3827" w:type="dxa"/>
            <w:shd w:val="clear" w:color="auto" w:fill="auto"/>
            <w:vAlign w:val="center"/>
            <w:hideMark/>
          </w:tcPr>
          <w:p w14:paraId="3E6DEF68"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Fortalecer la protección de datos de personales, mediante la creación de un sistema de gestión</w:t>
            </w:r>
          </w:p>
        </w:tc>
        <w:tc>
          <w:tcPr>
            <w:tcW w:w="1843" w:type="dxa"/>
          </w:tcPr>
          <w:p w14:paraId="1A864C37"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340E5812" w14:textId="77777777" w:rsidTr="004A6248">
        <w:trPr>
          <w:trHeight w:val="20"/>
        </w:trPr>
        <w:tc>
          <w:tcPr>
            <w:tcW w:w="546" w:type="dxa"/>
            <w:shd w:val="clear" w:color="auto" w:fill="auto"/>
            <w:vAlign w:val="center"/>
            <w:hideMark/>
          </w:tcPr>
          <w:p w14:paraId="3B4430B8"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18.1.5</w:t>
            </w:r>
          </w:p>
        </w:tc>
        <w:tc>
          <w:tcPr>
            <w:tcW w:w="1156" w:type="dxa"/>
            <w:shd w:val="clear" w:color="auto" w:fill="auto"/>
            <w:vAlign w:val="center"/>
            <w:hideMark/>
          </w:tcPr>
          <w:p w14:paraId="420DDAA9"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Reglamentación de controles criptográficos</w:t>
            </w:r>
          </w:p>
        </w:tc>
        <w:tc>
          <w:tcPr>
            <w:tcW w:w="2551" w:type="dxa"/>
            <w:shd w:val="clear" w:color="auto" w:fill="auto"/>
            <w:vAlign w:val="center"/>
            <w:hideMark/>
          </w:tcPr>
          <w:p w14:paraId="288A5ABD"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deben usar controles criptográficos, en cumplimiento de todos los acuerdos, legislación y reglamentación pertinentes.</w:t>
            </w:r>
          </w:p>
        </w:tc>
        <w:tc>
          <w:tcPr>
            <w:tcW w:w="826" w:type="dxa"/>
            <w:shd w:val="clear" w:color="000000" w:fill="008000"/>
            <w:vAlign w:val="center"/>
            <w:hideMark/>
          </w:tcPr>
          <w:p w14:paraId="5EC7DA3A"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340BCD8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usan certificados digitales los cuales dan cumplimiento con la legislación y reglamentación aplicable.</w:t>
            </w:r>
          </w:p>
        </w:tc>
        <w:tc>
          <w:tcPr>
            <w:tcW w:w="1275" w:type="dxa"/>
            <w:shd w:val="clear" w:color="000000" w:fill="92D050"/>
            <w:vAlign w:val="center"/>
            <w:hideMark/>
          </w:tcPr>
          <w:p w14:paraId="43D92B9B"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SI</w:t>
            </w:r>
          </w:p>
        </w:tc>
        <w:tc>
          <w:tcPr>
            <w:tcW w:w="1276" w:type="dxa"/>
            <w:shd w:val="clear" w:color="000000" w:fill="0070C0"/>
            <w:vAlign w:val="center"/>
            <w:hideMark/>
          </w:tcPr>
          <w:p w14:paraId="7D6AB88A"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Administrado</w:t>
            </w:r>
          </w:p>
        </w:tc>
        <w:tc>
          <w:tcPr>
            <w:tcW w:w="851" w:type="dxa"/>
            <w:shd w:val="clear" w:color="auto" w:fill="auto"/>
            <w:vAlign w:val="center"/>
            <w:hideMark/>
          </w:tcPr>
          <w:p w14:paraId="0236812B"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80%</w:t>
            </w:r>
          </w:p>
        </w:tc>
        <w:tc>
          <w:tcPr>
            <w:tcW w:w="3827" w:type="dxa"/>
            <w:shd w:val="clear" w:color="auto" w:fill="auto"/>
            <w:vAlign w:val="center"/>
            <w:hideMark/>
          </w:tcPr>
          <w:p w14:paraId="00060BF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Se recomienda identificar todos los certificados y controles criptográficos que se utilizan en el INS</w:t>
            </w:r>
            <w:r w:rsidRPr="00795864">
              <w:rPr>
                <w:rFonts w:asciiTheme="majorHAnsi" w:eastAsia="Times New Roman" w:hAnsiTheme="majorHAnsi" w:cstheme="majorHAnsi"/>
                <w:color w:val="000000"/>
                <w:sz w:val="16"/>
                <w:szCs w:val="16"/>
                <w:lang w:val="es-CO" w:eastAsia="es-CO"/>
              </w:rPr>
              <w:br/>
              <w:t>* Generar la política para el uso adecuado de controles criptográficos</w:t>
            </w:r>
          </w:p>
        </w:tc>
        <w:tc>
          <w:tcPr>
            <w:tcW w:w="1843" w:type="dxa"/>
          </w:tcPr>
          <w:p w14:paraId="0306B9B0"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4FD029E2" w14:textId="77777777" w:rsidTr="004A6248">
        <w:trPr>
          <w:trHeight w:val="20"/>
        </w:trPr>
        <w:tc>
          <w:tcPr>
            <w:tcW w:w="546" w:type="dxa"/>
            <w:shd w:val="clear" w:color="000000" w:fill="538DD5"/>
            <w:vAlign w:val="center"/>
            <w:hideMark/>
          </w:tcPr>
          <w:p w14:paraId="255569D2"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18.2</w:t>
            </w:r>
          </w:p>
        </w:tc>
        <w:tc>
          <w:tcPr>
            <w:tcW w:w="10653" w:type="dxa"/>
            <w:gridSpan w:val="6"/>
            <w:shd w:val="clear" w:color="000000" w:fill="538DD5"/>
            <w:vAlign w:val="center"/>
            <w:hideMark/>
          </w:tcPr>
          <w:p w14:paraId="58C963C2"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Revisiones de seguridad de la información</w:t>
            </w:r>
          </w:p>
        </w:tc>
        <w:tc>
          <w:tcPr>
            <w:tcW w:w="851" w:type="dxa"/>
            <w:shd w:val="clear" w:color="000000" w:fill="538DD5"/>
            <w:vAlign w:val="center"/>
            <w:hideMark/>
          </w:tcPr>
          <w:p w14:paraId="4104F017"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27%</w:t>
            </w:r>
          </w:p>
        </w:tc>
        <w:tc>
          <w:tcPr>
            <w:tcW w:w="3827" w:type="dxa"/>
            <w:shd w:val="clear" w:color="000000" w:fill="538DD5"/>
            <w:vAlign w:val="center"/>
            <w:hideMark/>
          </w:tcPr>
          <w:p w14:paraId="757B8602"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 </w:t>
            </w:r>
          </w:p>
        </w:tc>
        <w:tc>
          <w:tcPr>
            <w:tcW w:w="1843" w:type="dxa"/>
            <w:shd w:val="clear" w:color="000000" w:fill="538DD5"/>
          </w:tcPr>
          <w:p w14:paraId="1ED0EAE6" w14:textId="77777777" w:rsidR="004A6248" w:rsidRPr="00795864" w:rsidRDefault="004A6248" w:rsidP="000F099B">
            <w:pPr>
              <w:rPr>
                <w:rFonts w:asciiTheme="majorHAnsi" w:eastAsia="Times New Roman" w:hAnsiTheme="majorHAnsi" w:cstheme="majorHAnsi"/>
                <w:b/>
                <w:bCs/>
                <w:color w:val="FFFFFF"/>
                <w:sz w:val="16"/>
                <w:szCs w:val="16"/>
                <w:lang w:val="es-CO" w:eastAsia="es-CO"/>
              </w:rPr>
            </w:pPr>
          </w:p>
        </w:tc>
      </w:tr>
      <w:tr w:rsidR="004A6248" w:rsidRPr="00795864" w14:paraId="32D0777C" w14:textId="77777777" w:rsidTr="004A6248">
        <w:trPr>
          <w:trHeight w:val="20"/>
        </w:trPr>
        <w:tc>
          <w:tcPr>
            <w:tcW w:w="546" w:type="dxa"/>
            <w:shd w:val="clear" w:color="000000" w:fill="538DD5"/>
            <w:vAlign w:val="center"/>
            <w:hideMark/>
          </w:tcPr>
          <w:p w14:paraId="7FE3A302"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0653" w:type="dxa"/>
            <w:gridSpan w:val="6"/>
            <w:shd w:val="clear" w:color="000000" w:fill="538DD5"/>
            <w:vAlign w:val="center"/>
            <w:hideMark/>
          </w:tcPr>
          <w:p w14:paraId="5AF170BF"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Objetivo: Asegurar que la seguridad de la información se implemente y opere de acuerdo con las políticas y procedimientos organizacionales.</w:t>
            </w:r>
          </w:p>
        </w:tc>
        <w:tc>
          <w:tcPr>
            <w:tcW w:w="851" w:type="dxa"/>
            <w:shd w:val="clear" w:color="000000" w:fill="538DD5"/>
            <w:vAlign w:val="center"/>
            <w:hideMark/>
          </w:tcPr>
          <w:p w14:paraId="7B7F3450" w14:textId="77777777" w:rsidR="004A6248" w:rsidRPr="00795864" w:rsidRDefault="004A6248" w:rsidP="000F099B">
            <w:pPr>
              <w:jc w:val="cente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3827" w:type="dxa"/>
            <w:shd w:val="clear" w:color="000000" w:fill="538DD5"/>
            <w:vAlign w:val="center"/>
            <w:hideMark/>
          </w:tcPr>
          <w:p w14:paraId="5A06D49A" w14:textId="77777777" w:rsidR="004A6248" w:rsidRPr="00795864" w:rsidRDefault="004A6248" w:rsidP="000F099B">
            <w:pPr>
              <w:rPr>
                <w:rFonts w:asciiTheme="majorHAnsi" w:eastAsia="Times New Roman" w:hAnsiTheme="majorHAnsi" w:cstheme="majorHAnsi"/>
                <w:color w:val="FFFFFF"/>
                <w:sz w:val="16"/>
                <w:szCs w:val="16"/>
                <w:lang w:val="es-CO" w:eastAsia="es-CO"/>
              </w:rPr>
            </w:pPr>
            <w:r w:rsidRPr="00795864">
              <w:rPr>
                <w:rFonts w:asciiTheme="majorHAnsi" w:eastAsia="Times New Roman" w:hAnsiTheme="majorHAnsi" w:cstheme="majorHAnsi"/>
                <w:color w:val="FFFFFF"/>
                <w:sz w:val="16"/>
                <w:szCs w:val="16"/>
                <w:lang w:val="es-CO" w:eastAsia="es-CO"/>
              </w:rPr>
              <w:t> </w:t>
            </w:r>
          </w:p>
        </w:tc>
        <w:tc>
          <w:tcPr>
            <w:tcW w:w="1843" w:type="dxa"/>
            <w:shd w:val="clear" w:color="000000" w:fill="538DD5"/>
          </w:tcPr>
          <w:p w14:paraId="5316F561" w14:textId="77777777" w:rsidR="004A6248" w:rsidRPr="00795864" w:rsidRDefault="004A6248" w:rsidP="000F099B">
            <w:pPr>
              <w:rPr>
                <w:rFonts w:asciiTheme="majorHAnsi" w:eastAsia="Times New Roman" w:hAnsiTheme="majorHAnsi" w:cstheme="majorHAnsi"/>
                <w:color w:val="FFFFFF"/>
                <w:sz w:val="16"/>
                <w:szCs w:val="16"/>
                <w:lang w:val="es-CO" w:eastAsia="es-CO"/>
              </w:rPr>
            </w:pPr>
          </w:p>
        </w:tc>
      </w:tr>
      <w:tr w:rsidR="004A6248" w:rsidRPr="00795864" w14:paraId="3CEA54B3" w14:textId="77777777" w:rsidTr="004A6248">
        <w:trPr>
          <w:trHeight w:val="20"/>
        </w:trPr>
        <w:tc>
          <w:tcPr>
            <w:tcW w:w="546" w:type="dxa"/>
            <w:shd w:val="clear" w:color="auto" w:fill="auto"/>
            <w:vAlign w:val="center"/>
            <w:hideMark/>
          </w:tcPr>
          <w:p w14:paraId="0284A372"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18.2.1</w:t>
            </w:r>
          </w:p>
        </w:tc>
        <w:tc>
          <w:tcPr>
            <w:tcW w:w="1156" w:type="dxa"/>
            <w:shd w:val="clear" w:color="auto" w:fill="auto"/>
            <w:vAlign w:val="center"/>
            <w:hideMark/>
          </w:tcPr>
          <w:p w14:paraId="357F064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Revisión independiente de la seguridad de la información</w:t>
            </w:r>
          </w:p>
        </w:tc>
        <w:tc>
          <w:tcPr>
            <w:tcW w:w="2551" w:type="dxa"/>
            <w:shd w:val="clear" w:color="auto" w:fill="auto"/>
            <w:vAlign w:val="center"/>
            <w:hideMark/>
          </w:tcPr>
          <w:p w14:paraId="651FF482"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El enfoque de la organización para la gestión de la seguridad de la información y su implementación (es decir, los objetivos de control, los controles, las políticas, los procesos y los procedimientos para seguridad de la información) se deben revisar independientemente a intervalos planificados o cuando ocurran cambios significativos.</w:t>
            </w:r>
          </w:p>
        </w:tc>
        <w:tc>
          <w:tcPr>
            <w:tcW w:w="826" w:type="dxa"/>
            <w:shd w:val="clear" w:color="000000" w:fill="008000"/>
            <w:vAlign w:val="center"/>
            <w:hideMark/>
          </w:tcPr>
          <w:p w14:paraId="15F40A9A"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4E477496"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No se han realizado auditorías externas para revisar como se está gestionando la seguridad de la información en la entidad.</w:t>
            </w:r>
            <w:r w:rsidRPr="00795864">
              <w:rPr>
                <w:rFonts w:asciiTheme="majorHAnsi" w:eastAsia="Times New Roman" w:hAnsiTheme="majorHAnsi" w:cstheme="majorHAnsi"/>
                <w:color w:val="000000"/>
                <w:sz w:val="16"/>
                <w:szCs w:val="16"/>
                <w:lang w:val="es-CO" w:eastAsia="es-CO"/>
              </w:rPr>
              <w:br/>
              <w:t>* Parte de la consultoría es llevar a cabo una auditoria que demuestre el nivel de cumplimiento y las opciones de mejora del SGSI en la entidad.</w:t>
            </w:r>
          </w:p>
        </w:tc>
        <w:tc>
          <w:tcPr>
            <w:tcW w:w="1275" w:type="dxa"/>
            <w:shd w:val="clear" w:color="000000" w:fill="FF0000"/>
            <w:vAlign w:val="center"/>
            <w:hideMark/>
          </w:tcPr>
          <w:p w14:paraId="265072A3"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NO</w:t>
            </w:r>
          </w:p>
        </w:tc>
        <w:tc>
          <w:tcPr>
            <w:tcW w:w="1276" w:type="dxa"/>
            <w:shd w:val="clear" w:color="000000" w:fill="FF0000"/>
            <w:vAlign w:val="center"/>
            <w:hideMark/>
          </w:tcPr>
          <w:p w14:paraId="774AB060"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Inexistente</w:t>
            </w:r>
          </w:p>
        </w:tc>
        <w:tc>
          <w:tcPr>
            <w:tcW w:w="851" w:type="dxa"/>
            <w:shd w:val="clear" w:color="auto" w:fill="auto"/>
            <w:vAlign w:val="center"/>
            <w:hideMark/>
          </w:tcPr>
          <w:p w14:paraId="075D58ED"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0%</w:t>
            </w:r>
          </w:p>
        </w:tc>
        <w:tc>
          <w:tcPr>
            <w:tcW w:w="3827" w:type="dxa"/>
            <w:shd w:val="clear" w:color="auto" w:fill="auto"/>
            <w:vAlign w:val="center"/>
            <w:hideMark/>
          </w:tcPr>
          <w:p w14:paraId="23292DED"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Se debe realizar una revisión independiente de la seguridad de la información al menos una vez al año</w:t>
            </w:r>
          </w:p>
        </w:tc>
        <w:tc>
          <w:tcPr>
            <w:tcW w:w="1843" w:type="dxa"/>
          </w:tcPr>
          <w:p w14:paraId="7DD3AEEA"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06B64646" w14:textId="77777777" w:rsidTr="004A6248">
        <w:trPr>
          <w:trHeight w:val="20"/>
        </w:trPr>
        <w:tc>
          <w:tcPr>
            <w:tcW w:w="546" w:type="dxa"/>
            <w:shd w:val="clear" w:color="auto" w:fill="auto"/>
            <w:vAlign w:val="center"/>
            <w:hideMark/>
          </w:tcPr>
          <w:p w14:paraId="04C01D17"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18.2.2</w:t>
            </w:r>
          </w:p>
        </w:tc>
        <w:tc>
          <w:tcPr>
            <w:tcW w:w="1156" w:type="dxa"/>
            <w:shd w:val="clear" w:color="auto" w:fill="auto"/>
            <w:vAlign w:val="center"/>
            <w:hideMark/>
          </w:tcPr>
          <w:p w14:paraId="5928A876"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Cumplimiento con las políticas y normas de seguridad</w:t>
            </w:r>
          </w:p>
        </w:tc>
        <w:tc>
          <w:tcPr>
            <w:tcW w:w="2551" w:type="dxa"/>
            <w:shd w:val="clear" w:color="auto" w:fill="auto"/>
            <w:vAlign w:val="center"/>
            <w:hideMark/>
          </w:tcPr>
          <w:p w14:paraId="07D39E0C"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xml:space="preserve">Los directores deben revisar con regularidad el cumplimiento del procesamiento y procedimientos de información dentro de su área de responsabilidad, con las </w:t>
            </w:r>
            <w:r w:rsidRPr="00795864">
              <w:rPr>
                <w:rFonts w:asciiTheme="majorHAnsi" w:eastAsia="Times New Roman" w:hAnsiTheme="majorHAnsi" w:cstheme="majorHAnsi"/>
                <w:color w:val="000000"/>
                <w:sz w:val="16"/>
                <w:szCs w:val="16"/>
                <w:lang w:val="es-CO" w:eastAsia="es-CO"/>
              </w:rPr>
              <w:lastRenderedPageBreak/>
              <w:t>políticas y normas de seguridad apropiadas, y cualquier otro requisito de seguridad.</w:t>
            </w:r>
          </w:p>
        </w:tc>
        <w:tc>
          <w:tcPr>
            <w:tcW w:w="826" w:type="dxa"/>
            <w:shd w:val="clear" w:color="000000" w:fill="008000"/>
            <w:vAlign w:val="center"/>
            <w:hideMark/>
          </w:tcPr>
          <w:p w14:paraId="5C62EA68"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lastRenderedPageBreak/>
              <w:t>Aplica</w:t>
            </w:r>
          </w:p>
        </w:tc>
        <w:tc>
          <w:tcPr>
            <w:tcW w:w="3569" w:type="dxa"/>
            <w:shd w:val="clear" w:color="auto" w:fill="auto"/>
            <w:vAlign w:val="center"/>
            <w:hideMark/>
          </w:tcPr>
          <w:p w14:paraId="59C76C86"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Actualmente la entidad ha contratado la consultoría para dar cumplimiento al modelo de seguridad y privacidad de la información establecido por MINTIC, ya que se sabe que se requiere incrementar esfuerzos en este sentido.</w:t>
            </w:r>
          </w:p>
        </w:tc>
        <w:tc>
          <w:tcPr>
            <w:tcW w:w="1275" w:type="dxa"/>
            <w:shd w:val="clear" w:color="000000" w:fill="E26B0A"/>
            <w:vAlign w:val="center"/>
            <w:hideMark/>
          </w:tcPr>
          <w:p w14:paraId="529B3B3A"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E26B0A"/>
            <w:vAlign w:val="center"/>
            <w:hideMark/>
          </w:tcPr>
          <w:p w14:paraId="283C0526"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Inicial</w:t>
            </w:r>
          </w:p>
        </w:tc>
        <w:tc>
          <w:tcPr>
            <w:tcW w:w="851" w:type="dxa"/>
            <w:shd w:val="clear" w:color="auto" w:fill="auto"/>
            <w:vAlign w:val="center"/>
            <w:hideMark/>
          </w:tcPr>
          <w:p w14:paraId="219E5DEB"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20%</w:t>
            </w:r>
          </w:p>
        </w:tc>
        <w:tc>
          <w:tcPr>
            <w:tcW w:w="3827" w:type="dxa"/>
            <w:shd w:val="clear" w:color="auto" w:fill="auto"/>
            <w:vAlign w:val="center"/>
            <w:hideMark/>
          </w:tcPr>
          <w:p w14:paraId="5385D56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Revisar con regularidad el cumplimiento del procesamiento y procedimientos de información con las políticas y normas de seguridad apropiadas.</w:t>
            </w:r>
          </w:p>
        </w:tc>
        <w:tc>
          <w:tcPr>
            <w:tcW w:w="1843" w:type="dxa"/>
          </w:tcPr>
          <w:p w14:paraId="50592391"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r w:rsidR="004A6248" w:rsidRPr="00795864" w14:paraId="6CA8BE6F" w14:textId="77777777" w:rsidTr="004A6248">
        <w:trPr>
          <w:trHeight w:val="20"/>
        </w:trPr>
        <w:tc>
          <w:tcPr>
            <w:tcW w:w="546" w:type="dxa"/>
            <w:shd w:val="clear" w:color="auto" w:fill="auto"/>
            <w:vAlign w:val="center"/>
            <w:hideMark/>
          </w:tcPr>
          <w:p w14:paraId="19B2A1AE"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18.2.3</w:t>
            </w:r>
          </w:p>
        </w:tc>
        <w:tc>
          <w:tcPr>
            <w:tcW w:w="1156" w:type="dxa"/>
            <w:shd w:val="clear" w:color="auto" w:fill="auto"/>
            <w:vAlign w:val="center"/>
            <w:hideMark/>
          </w:tcPr>
          <w:p w14:paraId="74F1572A"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Revisión del cumplimiento técnico</w:t>
            </w:r>
          </w:p>
        </w:tc>
        <w:tc>
          <w:tcPr>
            <w:tcW w:w="2551" w:type="dxa"/>
            <w:shd w:val="clear" w:color="auto" w:fill="auto"/>
            <w:vAlign w:val="center"/>
            <w:hideMark/>
          </w:tcPr>
          <w:p w14:paraId="69A9E6FB"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Los sistemas de información se deben revisar con regularidad para determinar el cumplimiento con las políticas y normas de seguridad de la información.</w:t>
            </w:r>
          </w:p>
        </w:tc>
        <w:tc>
          <w:tcPr>
            <w:tcW w:w="826" w:type="dxa"/>
            <w:shd w:val="clear" w:color="000000" w:fill="008000"/>
            <w:vAlign w:val="center"/>
            <w:hideMark/>
          </w:tcPr>
          <w:p w14:paraId="360F2DC9" w14:textId="77777777" w:rsidR="004A6248" w:rsidRPr="00795864" w:rsidRDefault="004A6248" w:rsidP="000F099B">
            <w:pPr>
              <w:jc w:val="center"/>
              <w:rPr>
                <w:rFonts w:asciiTheme="majorHAnsi" w:eastAsia="Times New Roman" w:hAnsiTheme="majorHAnsi" w:cstheme="majorHAnsi"/>
                <w:b/>
                <w:bCs/>
                <w:color w:val="FFFFFF"/>
                <w:sz w:val="16"/>
                <w:szCs w:val="16"/>
                <w:lang w:val="es-CO" w:eastAsia="es-CO"/>
              </w:rPr>
            </w:pPr>
            <w:r w:rsidRPr="00795864">
              <w:rPr>
                <w:rFonts w:asciiTheme="majorHAnsi" w:eastAsia="Times New Roman" w:hAnsiTheme="majorHAnsi" w:cstheme="majorHAnsi"/>
                <w:b/>
                <w:bCs/>
                <w:color w:val="FFFFFF"/>
                <w:sz w:val="16"/>
                <w:szCs w:val="16"/>
                <w:lang w:val="es-CO" w:eastAsia="es-CO"/>
              </w:rPr>
              <w:t>Aplica</w:t>
            </w:r>
          </w:p>
        </w:tc>
        <w:tc>
          <w:tcPr>
            <w:tcW w:w="3569" w:type="dxa"/>
            <w:shd w:val="clear" w:color="auto" w:fill="auto"/>
            <w:vAlign w:val="center"/>
            <w:hideMark/>
          </w:tcPr>
          <w:p w14:paraId="7F5C427F"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 Los sistemas de información que son desarrollados en la OTIC, cumplen con mejores prácticas en materia de seguridad de la información.</w:t>
            </w:r>
            <w:r w:rsidRPr="00795864">
              <w:rPr>
                <w:rFonts w:asciiTheme="majorHAnsi" w:eastAsia="Times New Roman" w:hAnsiTheme="majorHAnsi" w:cstheme="majorHAnsi"/>
                <w:color w:val="000000"/>
                <w:sz w:val="16"/>
                <w:szCs w:val="16"/>
                <w:lang w:val="es-CO" w:eastAsia="es-CO"/>
              </w:rPr>
              <w:br/>
              <w:t>* Por otra parte algunos sistemas específicos que han nacido como proyectos en cada dirección no cumplen con dichas prácticas, por lo que requieren ser revisados.</w:t>
            </w:r>
          </w:p>
        </w:tc>
        <w:tc>
          <w:tcPr>
            <w:tcW w:w="1275" w:type="dxa"/>
            <w:shd w:val="clear" w:color="000000" w:fill="E26B0A"/>
            <w:vAlign w:val="center"/>
            <w:hideMark/>
          </w:tcPr>
          <w:p w14:paraId="116FF11C" w14:textId="77777777" w:rsidR="004A6248" w:rsidRPr="00795864" w:rsidRDefault="004A6248" w:rsidP="000F099B">
            <w:pPr>
              <w:jc w:val="center"/>
              <w:rPr>
                <w:rFonts w:asciiTheme="majorHAnsi" w:eastAsia="Times New Roman" w:hAnsiTheme="majorHAnsi" w:cstheme="majorHAnsi"/>
                <w:b/>
                <w:bCs/>
                <w:sz w:val="16"/>
                <w:szCs w:val="16"/>
                <w:lang w:val="es-CO" w:eastAsia="es-CO"/>
              </w:rPr>
            </w:pPr>
            <w:r w:rsidRPr="00795864">
              <w:rPr>
                <w:rFonts w:asciiTheme="majorHAnsi" w:eastAsia="Times New Roman" w:hAnsiTheme="majorHAnsi" w:cstheme="majorHAnsi"/>
                <w:b/>
                <w:bCs/>
                <w:sz w:val="16"/>
                <w:szCs w:val="16"/>
                <w:lang w:val="es-CO" w:eastAsia="es-CO"/>
              </w:rPr>
              <w:t>PARCIAL</w:t>
            </w:r>
          </w:p>
        </w:tc>
        <w:tc>
          <w:tcPr>
            <w:tcW w:w="1276" w:type="dxa"/>
            <w:shd w:val="clear" w:color="000000" w:fill="00B0F0"/>
            <w:vAlign w:val="center"/>
            <w:hideMark/>
          </w:tcPr>
          <w:p w14:paraId="0E81731A" w14:textId="77777777" w:rsidR="004A6248" w:rsidRPr="00795864" w:rsidRDefault="004A6248" w:rsidP="000F099B">
            <w:pPr>
              <w:jc w:val="center"/>
              <w:rPr>
                <w:rFonts w:asciiTheme="majorHAnsi" w:eastAsia="Times New Roman" w:hAnsiTheme="majorHAnsi" w:cstheme="majorHAnsi"/>
                <w:sz w:val="16"/>
                <w:szCs w:val="16"/>
                <w:lang w:val="es-CO" w:eastAsia="es-CO"/>
              </w:rPr>
            </w:pPr>
            <w:r w:rsidRPr="00795864">
              <w:rPr>
                <w:rFonts w:asciiTheme="majorHAnsi" w:eastAsia="Times New Roman" w:hAnsiTheme="majorHAnsi" w:cstheme="majorHAnsi"/>
                <w:sz w:val="16"/>
                <w:szCs w:val="16"/>
                <w:lang w:val="es-CO" w:eastAsia="es-CO"/>
              </w:rPr>
              <w:t>Definido</w:t>
            </w:r>
          </w:p>
        </w:tc>
        <w:tc>
          <w:tcPr>
            <w:tcW w:w="851" w:type="dxa"/>
            <w:shd w:val="clear" w:color="auto" w:fill="auto"/>
            <w:vAlign w:val="center"/>
            <w:hideMark/>
          </w:tcPr>
          <w:p w14:paraId="17295B34" w14:textId="77777777" w:rsidR="004A6248" w:rsidRPr="00795864" w:rsidRDefault="004A6248" w:rsidP="000F099B">
            <w:pPr>
              <w:jc w:val="cente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60%</w:t>
            </w:r>
          </w:p>
        </w:tc>
        <w:tc>
          <w:tcPr>
            <w:tcW w:w="3827" w:type="dxa"/>
            <w:shd w:val="clear" w:color="auto" w:fill="auto"/>
            <w:vAlign w:val="center"/>
            <w:hideMark/>
          </w:tcPr>
          <w:p w14:paraId="289C9A8E" w14:textId="77777777" w:rsidR="004A6248" w:rsidRPr="00795864" w:rsidRDefault="004A6248" w:rsidP="000F099B">
            <w:pPr>
              <w:rPr>
                <w:rFonts w:asciiTheme="majorHAnsi" w:eastAsia="Times New Roman" w:hAnsiTheme="majorHAnsi" w:cstheme="majorHAnsi"/>
                <w:color w:val="000000"/>
                <w:sz w:val="16"/>
                <w:szCs w:val="16"/>
                <w:lang w:val="es-CO" w:eastAsia="es-CO"/>
              </w:rPr>
            </w:pPr>
            <w:r w:rsidRPr="00795864">
              <w:rPr>
                <w:rFonts w:asciiTheme="majorHAnsi" w:eastAsia="Times New Roman" w:hAnsiTheme="majorHAnsi" w:cstheme="majorHAnsi"/>
                <w:color w:val="000000"/>
                <w:sz w:val="16"/>
                <w:szCs w:val="16"/>
                <w:lang w:val="es-CO" w:eastAsia="es-CO"/>
              </w:rPr>
              <w:t>Revisar con regularidad los sistemas de información para determinar el cumplimiento con las políticas y normas de seguridad de la información.</w:t>
            </w:r>
          </w:p>
        </w:tc>
        <w:tc>
          <w:tcPr>
            <w:tcW w:w="1843" w:type="dxa"/>
          </w:tcPr>
          <w:p w14:paraId="1AE20A10" w14:textId="77777777" w:rsidR="004A6248" w:rsidRPr="00795864" w:rsidRDefault="004A6248" w:rsidP="000F099B">
            <w:pPr>
              <w:rPr>
                <w:rFonts w:asciiTheme="majorHAnsi" w:eastAsia="Times New Roman" w:hAnsiTheme="majorHAnsi" w:cstheme="majorHAnsi"/>
                <w:color w:val="000000"/>
                <w:sz w:val="16"/>
                <w:szCs w:val="16"/>
                <w:lang w:val="es-CO" w:eastAsia="es-CO"/>
              </w:rPr>
            </w:pPr>
          </w:p>
        </w:tc>
      </w:tr>
    </w:tbl>
    <w:p w14:paraId="209E9220" w14:textId="77777777" w:rsidR="000F099B" w:rsidRDefault="000F099B" w:rsidP="000F099B">
      <w:pPr>
        <w:pStyle w:val="Sinespaciado"/>
      </w:pPr>
    </w:p>
    <w:p w14:paraId="7E589B61" w14:textId="77777777" w:rsidR="000F099B" w:rsidRDefault="000F099B" w:rsidP="000F099B">
      <w:pPr>
        <w:pStyle w:val="Sinespaciado"/>
      </w:pPr>
    </w:p>
    <w:p w14:paraId="284DDC90" w14:textId="77777777" w:rsidR="000F099B" w:rsidRDefault="000F099B" w:rsidP="000F099B">
      <w:pPr>
        <w:pStyle w:val="Sinespaciado"/>
      </w:pPr>
    </w:p>
    <w:p w14:paraId="4E1351C2" w14:textId="77777777" w:rsidR="000F099B" w:rsidRPr="0026394A" w:rsidRDefault="000F099B" w:rsidP="000F099B">
      <w:pPr>
        <w:pStyle w:val="Sinespaciado"/>
      </w:pPr>
    </w:p>
    <w:p w14:paraId="56346A53" w14:textId="77777777" w:rsidR="009543F1" w:rsidRDefault="009543F1" w:rsidP="009543F1">
      <w:pPr>
        <w:pStyle w:val="Textoindependiente"/>
        <w:jc w:val="both"/>
        <w:rPr>
          <w:b/>
          <w:sz w:val="26"/>
        </w:rPr>
      </w:pPr>
    </w:p>
    <w:sectPr w:rsidR="009543F1" w:rsidSect="00955FD3">
      <w:pgSz w:w="20160" w:h="12240" w:orient="landscape" w:code="5"/>
      <w:pgMar w:top="1701" w:right="2381" w:bottom="1185" w:left="2325" w:header="709" w:footer="187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2975BA" w14:textId="77777777" w:rsidR="0086223A" w:rsidRDefault="0086223A">
      <w:r>
        <w:separator/>
      </w:r>
    </w:p>
  </w:endnote>
  <w:endnote w:type="continuationSeparator" w:id="0">
    <w:p w14:paraId="06914AC2" w14:textId="77777777" w:rsidR="0086223A" w:rsidRDefault="00862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adea">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ans Narrow">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1A8BC" w14:textId="77777777" w:rsidR="00696E45" w:rsidRDefault="00696E45">
    <w:pPr>
      <w:pStyle w:val="Textoindependiente"/>
      <w:spacing w:line="14" w:lineRule="auto"/>
      <w:rPr>
        <w:sz w:val="20"/>
      </w:rPr>
    </w:pPr>
    <w:r>
      <w:rPr>
        <w:noProof/>
        <w:lang w:val="es-CO" w:eastAsia="es-CO"/>
      </w:rPr>
      <w:drawing>
        <wp:anchor distT="0" distB="0" distL="0" distR="0" simplePos="0" relativeHeight="484072960" behindDoc="1" locked="0" layoutInCell="1" allowOverlap="1" wp14:anchorId="23773D42" wp14:editId="3075D91B">
          <wp:simplePos x="0" y="0"/>
          <wp:positionH relativeFrom="page">
            <wp:posOffset>1080135</wp:posOffset>
          </wp:positionH>
          <wp:positionV relativeFrom="page">
            <wp:posOffset>8883650</wp:posOffset>
          </wp:positionV>
          <wp:extent cx="5610860" cy="72453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5610860" cy="724535"/>
                  </a:xfrm>
                  <a:prstGeom prst="rect">
                    <a:avLst/>
                  </a:prstGeom>
                </pic:spPr>
              </pic:pic>
            </a:graphicData>
          </a:graphic>
        </wp:anchor>
      </w:drawing>
    </w:r>
    <w:r>
      <w:rPr>
        <w:noProof/>
        <w:lang w:val="es-CO" w:eastAsia="es-CO"/>
      </w:rPr>
      <mc:AlternateContent>
        <mc:Choice Requires="wps">
          <w:drawing>
            <wp:anchor distT="0" distB="0" distL="114300" distR="114300" simplePos="0" relativeHeight="484073472" behindDoc="1" locked="0" layoutInCell="1" allowOverlap="1" wp14:anchorId="3416A944" wp14:editId="646861FA">
              <wp:simplePos x="0" y="0"/>
              <wp:positionH relativeFrom="page">
                <wp:posOffset>6089650</wp:posOffset>
              </wp:positionH>
              <wp:positionV relativeFrom="page">
                <wp:posOffset>8729980</wp:posOffset>
              </wp:positionV>
              <wp:extent cx="615315" cy="167005"/>
              <wp:effectExtent l="0" t="0" r="0" b="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359A4" w14:textId="77777777" w:rsidR="00696E45" w:rsidRDefault="00696E45">
                          <w:pPr>
                            <w:spacing w:before="12"/>
                            <w:ind w:left="6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16A944" id="_x0000_t202" coordsize="21600,21600" o:spt="202" path="m,l,21600r21600,l21600,xe">
              <v:stroke joinstyle="miter"/>
              <v:path gradientshapeok="t" o:connecttype="rect"/>
            </v:shapetype>
            <v:shape id="Text Box 5" o:spid="_x0000_s1026" type="#_x0000_t202" style="position:absolute;margin-left:479.5pt;margin-top:687.4pt;width:48.45pt;height:13.15pt;z-index:-192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" filled="f" stroked="f">
              <v:textbox inset="0,0,0,0">
                <w:txbxContent>
                  <w:p w14:paraId="25F359A4" w14:textId="77777777" w:rsidR="00696E45" w:rsidRDefault="00696E45">
                    <w:pPr>
                      <w:spacing w:before="12"/>
                      <w:ind w:left="60"/>
                      <w:rPr>
                        <w:sz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CE6BA" w14:textId="77777777" w:rsidR="00696E45" w:rsidRPr="000F099B" w:rsidRDefault="00696E45" w:rsidP="000F099B">
    <w:pPr>
      <w:pStyle w:val="Piedepgina"/>
    </w:pPr>
    <w:r w:rsidRPr="000519A9">
      <w:rPr>
        <w:noProof/>
        <w:highlight w:val="yellow"/>
      </w:rPr>
      <w:drawing>
        <wp:anchor distT="0" distB="0" distL="0" distR="0" simplePos="0" relativeHeight="484082688" behindDoc="1" locked="0" layoutInCell="1" allowOverlap="1" wp14:anchorId="01F84C9E" wp14:editId="2DA00664">
          <wp:simplePos x="0" y="0"/>
          <wp:positionH relativeFrom="page">
            <wp:posOffset>720090</wp:posOffset>
          </wp:positionH>
          <wp:positionV relativeFrom="page">
            <wp:posOffset>9274810</wp:posOffset>
          </wp:positionV>
          <wp:extent cx="5610860" cy="724535"/>
          <wp:effectExtent l="0" t="0" r="0" b="0"/>
          <wp:wrapNone/>
          <wp:docPr id="53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5610860" cy="72453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C2380" w14:textId="77777777" w:rsidR="00696E45" w:rsidRPr="000F099B" w:rsidRDefault="00696E45" w:rsidP="000F099B">
    <w:pPr>
      <w:pStyle w:val="Piedepgina"/>
    </w:pPr>
    <w:r>
      <w:rPr>
        <w:noProof/>
      </w:rPr>
      <w:drawing>
        <wp:anchor distT="0" distB="0" distL="0" distR="0" simplePos="0" relativeHeight="484080640" behindDoc="1" locked="0" layoutInCell="1" allowOverlap="1" wp14:anchorId="4ACA6E19" wp14:editId="52EE95BD">
          <wp:simplePos x="0" y="0"/>
          <wp:positionH relativeFrom="margin">
            <wp:align>center</wp:align>
          </wp:positionH>
          <wp:positionV relativeFrom="page">
            <wp:posOffset>9312910</wp:posOffset>
          </wp:positionV>
          <wp:extent cx="5610860" cy="724535"/>
          <wp:effectExtent l="0" t="0" r="8890" b="0"/>
          <wp:wrapNone/>
          <wp:docPr id="52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5610860" cy="72453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DECC06" w14:textId="77777777" w:rsidR="0086223A" w:rsidRDefault="0086223A">
      <w:r>
        <w:separator/>
      </w:r>
    </w:p>
  </w:footnote>
  <w:footnote w:type="continuationSeparator" w:id="0">
    <w:p w14:paraId="2BCE49B4" w14:textId="77777777" w:rsidR="0086223A" w:rsidRDefault="008622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76CC1" w14:textId="77777777" w:rsidR="00696E45" w:rsidRDefault="00696E45">
    <w:pPr>
      <w:pStyle w:val="Textoindependiente"/>
      <w:spacing w:line="14" w:lineRule="auto"/>
      <w:rPr>
        <w:sz w:val="20"/>
      </w:rPr>
    </w:pPr>
    <w:r>
      <w:rPr>
        <w:noProof/>
        <w:lang w:val="es-CO" w:eastAsia="es-CO"/>
      </w:rPr>
      <w:drawing>
        <wp:anchor distT="0" distB="0" distL="0" distR="0" simplePos="0" relativeHeight="484072448" behindDoc="1" locked="0" layoutInCell="1" allowOverlap="1" wp14:anchorId="76664C73" wp14:editId="4D8FDF52">
          <wp:simplePos x="0" y="0"/>
          <wp:positionH relativeFrom="page">
            <wp:posOffset>1080135</wp:posOffset>
          </wp:positionH>
          <wp:positionV relativeFrom="page">
            <wp:posOffset>450215</wp:posOffset>
          </wp:positionV>
          <wp:extent cx="5612129" cy="107233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612129" cy="107233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4371B" w14:textId="77777777" w:rsidR="00696E45" w:rsidRDefault="00696E45" w:rsidP="000F099B">
    <w:pPr>
      <w:pStyle w:val="Encabezado"/>
    </w:pPr>
    <w:r>
      <w:rPr>
        <w:noProof/>
      </w:rPr>
      <w:drawing>
        <wp:anchor distT="0" distB="0" distL="0" distR="0" simplePos="0" relativeHeight="484084736" behindDoc="1" locked="0" layoutInCell="1" allowOverlap="1" wp14:anchorId="1383B094" wp14:editId="3E19E1CD">
          <wp:simplePos x="0" y="0"/>
          <wp:positionH relativeFrom="margin">
            <wp:align>left</wp:align>
          </wp:positionH>
          <wp:positionV relativeFrom="page">
            <wp:posOffset>68580</wp:posOffset>
          </wp:positionV>
          <wp:extent cx="5612129" cy="1072337"/>
          <wp:effectExtent l="0" t="0" r="0" b="0"/>
          <wp:wrapNone/>
          <wp:docPr id="5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612129" cy="107233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6C8D6" w14:textId="77777777" w:rsidR="00696E45" w:rsidRDefault="00696E45" w:rsidP="000F099B">
    <w:pPr>
      <w:pStyle w:val="Encabezado"/>
      <w:tabs>
        <w:tab w:val="left" w:pos="3165"/>
      </w:tabs>
    </w:pPr>
    <w:r>
      <w:rPr>
        <w:noProof/>
      </w:rPr>
      <w:drawing>
        <wp:anchor distT="0" distB="0" distL="0" distR="0" simplePos="0" relativeHeight="484078592" behindDoc="1" locked="0" layoutInCell="1" allowOverlap="1" wp14:anchorId="6F21FE9F" wp14:editId="063217DF">
          <wp:simplePos x="0" y="0"/>
          <wp:positionH relativeFrom="margin">
            <wp:align>left</wp:align>
          </wp:positionH>
          <wp:positionV relativeFrom="page">
            <wp:posOffset>92710</wp:posOffset>
          </wp:positionV>
          <wp:extent cx="5612129" cy="1072337"/>
          <wp:effectExtent l="0" t="0" r="0" b="0"/>
          <wp:wrapNone/>
          <wp:docPr id="5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612129" cy="1072337"/>
                  </a:xfrm>
                  <a:prstGeom prst="rect">
                    <a:avLst/>
                  </a:prstGeom>
                </pic:spPr>
              </pic:pic>
            </a:graphicData>
          </a:graphic>
        </wp:anchor>
      </w:drawing>
    </w:r>
    <w:r>
      <w:tab/>
    </w:r>
  </w:p>
  <w:p w14:paraId="21D398C1" w14:textId="77777777" w:rsidR="00696E45" w:rsidRDefault="00696E45" w:rsidP="000F099B">
    <w:pPr>
      <w:pStyle w:val="Encabezado"/>
      <w:tabs>
        <w:tab w:val="left" w:pos="3165"/>
      </w:tabs>
    </w:pPr>
  </w:p>
  <w:p w14:paraId="4D97E3E0" w14:textId="77777777" w:rsidR="00696E45" w:rsidRDefault="00696E4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54205"/>
    <w:multiLevelType w:val="hybridMultilevel"/>
    <w:tmpl w:val="428C69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1F419B"/>
    <w:multiLevelType w:val="hybridMultilevel"/>
    <w:tmpl w:val="99EC81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F4A422E"/>
    <w:multiLevelType w:val="hybridMultilevel"/>
    <w:tmpl w:val="CA8CE6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730177"/>
    <w:multiLevelType w:val="hybridMultilevel"/>
    <w:tmpl w:val="A0A8DC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832DF7"/>
    <w:multiLevelType w:val="hybridMultilevel"/>
    <w:tmpl w:val="E2EAF02C"/>
    <w:lvl w:ilvl="0" w:tplc="4E466072">
      <w:start w:val="1"/>
      <w:numFmt w:val="upperLetter"/>
      <w:lvlText w:val="%1."/>
      <w:lvlJc w:val="left"/>
      <w:pPr>
        <w:ind w:left="720" w:hanging="360"/>
      </w:pPr>
      <w:rPr>
        <w:rFonts w:hint="default"/>
        <w:b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5517B9A"/>
    <w:multiLevelType w:val="multilevel"/>
    <w:tmpl w:val="3708A1AA"/>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CE4194A"/>
    <w:multiLevelType w:val="hybridMultilevel"/>
    <w:tmpl w:val="D7102B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20D1600"/>
    <w:multiLevelType w:val="hybridMultilevel"/>
    <w:tmpl w:val="8842E5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7FD4A0B"/>
    <w:multiLevelType w:val="hybridMultilevel"/>
    <w:tmpl w:val="2BC469C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3556E75"/>
    <w:multiLevelType w:val="hybridMultilevel"/>
    <w:tmpl w:val="9FC49696"/>
    <w:lvl w:ilvl="0" w:tplc="240A000F">
      <w:start w:val="1"/>
      <w:numFmt w:val="decimal"/>
      <w:lvlText w:val="%1."/>
      <w:lvlJc w:val="left"/>
      <w:pPr>
        <w:ind w:left="9149"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F642D03"/>
    <w:multiLevelType w:val="hybridMultilevel"/>
    <w:tmpl w:val="92B84114"/>
    <w:lvl w:ilvl="0" w:tplc="4F8E72D4">
      <w:start w:val="1"/>
      <w:numFmt w:val="lowerRoman"/>
      <w:lvlText w:val="%1."/>
      <w:lvlJc w:val="left"/>
      <w:pPr>
        <w:ind w:left="1428" w:hanging="72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 w15:restartNumberingAfterBreak="0">
    <w:nsid w:val="3FE31CA6"/>
    <w:multiLevelType w:val="hybridMultilevel"/>
    <w:tmpl w:val="09903034"/>
    <w:lvl w:ilvl="0" w:tplc="240A0001">
      <w:start w:val="1"/>
      <w:numFmt w:val="bullet"/>
      <w:lvlText w:val=""/>
      <w:lvlJc w:val="left"/>
      <w:pPr>
        <w:ind w:left="731" w:hanging="360"/>
      </w:pPr>
      <w:rPr>
        <w:rFonts w:ascii="Symbol" w:hAnsi="Symbol" w:hint="default"/>
      </w:rPr>
    </w:lvl>
    <w:lvl w:ilvl="1" w:tplc="240A0003" w:tentative="1">
      <w:start w:val="1"/>
      <w:numFmt w:val="bullet"/>
      <w:lvlText w:val="o"/>
      <w:lvlJc w:val="left"/>
      <w:pPr>
        <w:ind w:left="1451" w:hanging="360"/>
      </w:pPr>
      <w:rPr>
        <w:rFonts w:ascii="Courier New" w:hAnsi="Courier New" w:cs="Courier New" w:hint="default"/>
      </w:rPr>
    </w:lvl>
    <w:lvl w:ilvl="2" w:tplc="240A0005" w:tentative="1">
      <w:start w:val="1"/>
      <w:numFmt w:val="bullet"/>
      <w:lvlText w:val=""/>
      <w:lvlJc w:val="left"/>
      <w:pPr>
        <w:ind w:left="2171" w:hanging="360"/>
      </w:pPr>
      <w:rPr>
        <w:rFonts w:ascii="Wingdings" w:hAnsi="Wingdings" w:hint="default"/>
      </w:rPr>
    </w:lvl>
    <w:lvl w:ilvl="3" w:tplc="240A0001" w:tentative="1">
      <w:start w:val="1"/>
      <w:numFmt w:val="bullet"/>
      <w:lvlText w:val=""/>
      <w:lvlJc w:val="left"/>
      <w:pPr>
        <w:ind w:left="2891" w:hanging="360"/>
      </w:pPr>
      <w:rPr>
        <w:rFonts w:ascii="Symbol" w:hAnsi="Symbol" w:hint="default"/>
      </w:rPr>
    </w:lvl>
    <w:lvl w:ilvl="4" w:tplc="240A0003" w:tentative="1">
      <w:start w:val="1"/>
      <w:numFmt w:val="bullet"/>
      <w:lvlText w:val="o"/>
      <w:lvlJc w:val="left"/>
      <w:pPr>
        <w:ind w:left="3611" w:hanging="360"/>
      </w:pPr>
      <w:rPr>
        <w:rFonts w:ascii="Courier New" w:hAnsi="Courier New" w:cs="Courier New" w:hint="default"/>
      </w:rPr>
    </w:lvl>
    <w:lvl w:ilvl="5" w:tplc="240A0005" w:tentative="1">
      <w:start w:val="1"/>
      <w:numFmt w:val="bullet"/>
      <w:lvlText w:val=""/>
      <w:lvlJc w:val="left"/>
      <w:pPr>
        <w:ind w:left="4331" w:hanging="360"/>
      </w:pPr>
      <w:rPr>
        <w:rFonts w:ascii="Wingdings" w:hAnsi="Wingdings" w:hint="default"/>
      </w:rPr>
    </w:lvl>
    <w:lvl w:ilvl="6" w:tplc="240A0001" w:tentative="1">
      <w:start w:val="1"/>
      <w:numFmt w:val="bullet"/>
      <w:lvlText w:val=""/>
      <w:lvlJc w:val="left"/>
      <w:pPr>
        <w:ind w:left="5051" w:hanging="360"/>
      </w:pPr>
      <w:rPr>
        <w:rFonts w:ascii="Symbol" w:hAnsi="Symbol" w:hint="default"/>
      </w:rPr>
    </w:lvl>
    <w:lvl w:ilvl="7" w:tplc="240A0003" w:tentative="1">
      <w:start w:val="1"/>
      <w:numFmt w:val="bullet"/>
      <w:lvlText w:val="o"/>
      <w:lvlJc w:val="left"/>
      <w:pPr>
        <w:ind w:left="5771" w:hanging="360"/>
      </w:pPr>
      <w:rPr>
        <w:rFonts w:ascii="Courier New" w:hAnsi="Courier New" w:cs="Courier New" w:hint="default"/>
      </w:rPr>
    </w:lvl>
    <w:lvl w:ilvl="8" w:tplc="240A0005" w:tentative="1">
      <w:start w:val="1"/>
      <w:numFmt w:val="bullet"/>
      <w:lvlText w:val=""/>
      <w:lvlJc w:val="left"/>
      <w:pPr>
        <w:ind w:left="6491" w:hanging="360"/>
      </w:pPr>
      <w:rPr>
        <w:rFonts w:ascii="Wingdings" w:hAnsi="Wingdings" w:hint="default"/>
      </w:rPr>
    </w:lvl>
  </w:abstractNum>
  <w:abstractNum w:abstractNumId="12" w15:restartNumberingAfterBreak="0">
    <w:nsid w:val="482152DC"/>
    <w:multiLevelType w:val="hybridMultilevel"/>
    <w:tmpl w:val="812CF8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EE61FCA"/>
    <w:multiLevelType w:val="hybridMultilevel"/>
    <w:tmpl w:val="AC1C4A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2763D44"/>
    <w:multiLevelType w:val="hybridMultilevel"/>
    <w:tmpl w:val="C03AF8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3465AB1"/>
    <w:multiLevelType w:val="hybridMultilevel"/>
    <w:tmpl w:val="B5F4F4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5A0265B"/>
    <w:multiLevelType w:val="hybridMultilevel"/>
    <w:tmpl w:val="812CF8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8AC0692"/>
    <w:multiLevelType w:val="hybridMultilevel"/>
    <w:tmpl w:val="647E9B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F8D7155"/>
    <w:multiLevelType w:val="hybridMultilevel"/>
    <w:tmpl w:val="1C3EE8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0851765"/>
    <w:multiLevelType w:val="hybridMultilevel"/>
    <w:tmpl w:val="941EA7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4961D13"/>
    <w:multiLevelType w:val="hybridMultilevel"/>
    <w:tmpl w:val="7818D6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50A7C51"/>
    <w:multiLevelType w:val="multilevel"/>
    <w:tmpl w:val="F6A47634"/>
    <w:lvl w:ilvl="0">
      <w:start w:val="3"/>
      <w:numFmt w:val="decimal"/>
      <w:lvlText w:val="%1"/>
      <w:lvlJc w:val="left"/>
      <w:pPr>
        <w:ind w:left="375" w:hanging="375"/>
      </w:pPr>
      <w:rPr>
        <w:rFonts w:hint="default"/>
      </w:rPr>
    </w:lvl>
    <w:lvl w:ilvl="1">
      <w:start w:val="1"/>
      <w:numFmt w:val="decimal"/>
      <w:lvlText w:val="%1.%2"/>
      <w:lvlJc w:val="left"/>
      <w:pPr>
        <w:ind w:left="2077"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66E65452"/>
    <w:multiLevelType w:val="hybridMultilevel"/>
    <w:tmpl w:val="2364FD0E"/>
    <w:lvl w:ilvl="0" w:tplc="E5685BE0">
      <w:numFmt w:val="bullet"/>
      <w:lvlText w:val="•"/>
      <w:lvlJc w:val="left"/>
      <w:pPr>
        <w:ind w:left="720" w:hanging="360"/>
      </w:pPr>
      <w:rPr>
        <w:rFonts w:ascii="Open Sans" w:eastAsiaTheme="minorEastAsia" w:hAnsi="Open Sans" w:cs="Open San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9CE5FB6"/>
    <w:multiLevelType w:val="hybridMultilevel"/>
    <w:tmpl w:val="CF849D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ADE218C"/>
    <w:multiLevelType w:val="hybridMultilevel"/>
    <w:tmpl w:val="00E822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10648FC"/>
    <w:multiLevelType w:val="multilevel"/>
    <w:tmpl w:val="5EDECC76"/>
    <w:lvl w:ilvl="0">
      <w:start w:val="1"/>
      <w:numFmt w:val="decimal"/>
      <w:pStyle w:val="Estilo1"/>
      <w:lvlText w:val="%1."/>
      <w:lvlJc w:val="left"/>
      <w:pPr>
        <w:ind w:left="644" w:hanging="360"/>
      </w:pPr>
    </w:lvl>
    <w:lvl w:ilvl="1">
      <w:start w:val="1"/>
      <w:numFmt w:val="decimal"/>
      <w:pStyle w:val="Estilo2"/>
      <w:lvlText w:val="%1.%2."/>
      <w:lvlJc w:val="left"/>
      <w:pPr>
        <w:ind w:left="720" w:hanging="720"/>
      </w:pPr>
    </w:lvl>
    <w:lvl w:ilvl="2">
      <w:start w:val="1"/>
      <w:numFmt w:val="decimal"/>
      <w:pStyle w:val="Estilo3"/>
      <w:lvlText w:val="%1.%2.%3."/>
      <w:lvlJc w:val="left"/>
      <w:pPr>
        <w:ind w:left="1080" w:hanging="720"/>
      </w:pPr>
    </w:lvl>
    <w:lvl w:ilvl="3">
      <w:start w:val="1"/>
      <w:numFmt w:val="decimal"/>
      <w:pStyle w:val="Estilo4"/>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6" w15:restartNumberingAfterBreak="0">
    <w:nsid w:val="768936DF"/>
    <w:multiLevelType w:val="multilevel"/>
    <w:tmpl w:val="4586B5B2"/>
    <w:lvl w:ilvl="0">
      <w:start w:val="1"/>
      <w:numFmt w:val="bullet"/>
      <w:lvlText w:val=""/>
      <w:lvlJc w:val="left"/>
      <w:pPr>
        <w:ind w:left="720" w:hanging="360"/>
      </w:pPr>
      <w:rPr>
        <w:rFonts w:ascii="Symbol" w:hAnsi="Symbol" w:hint="default"/>
        <w:sz w:val="20"/>
      </w:rPr>
    </w:lvl>
    <w:lvl w:ilvl="1">
      <w:start w:val="1"/>
      <w:numFmt w:val="decimal"/>
      <w:isLgl/>
      <w:lvlText w:val="%1.%2"/>
      <w:lvlJc w:val="left"/>
      <w:pPr>
        <w:ind w:left="720" w:hanging="36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440" w:hanging="108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800" w:hanging="144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2160" w:hanging="1800"/>
      </w:pPr>
      <w:rPr>
        <w:rFonts w:hint="default"/>
        <w:sz w:val="20"/>
      </w:rPr>
    </w:lvl>
    <w:lvl w:ilvl="8">
      <w:start w:val="1"/>
      <w:numFmt w:val="decimal"/>
      <w:isLgl/>
      <w:lvlText w:val="%1.%2.%3.%4.%5.%6.%7.%8.%9"/>
      <w:lvlJc w:val="left"/>
      <w:pPr>
        <w:ind w:left="2160" w:hanging="1800"/>
      </w:pPr>
      <w:rPr>
        <w:rFonts w:hint="default"/>
        <w:sz w:val="20"/>
      </w:rPr>
    </w:lvl>
  </w:abstractNum>
  <w:abstractNum w:abstractNumId="27" w15:restartNumberingAfterBreak="0">
    <w:nsid w:val="790F015D"/>
    <w:multiLevelType w:val="hybridMultilevel"/>
    <w:tmpl w:val="F4FE3C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9D1179B"/>
    <w:multiLevelType w:val="hybridMultilevel"/>
    <w:tmpl w:val="E35AAF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E4F79F9"/>
    <w:multiLevelType w:val="hybridMultilevel"/>
    <w:tmpl w:val="1D3612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5"/>
  </w:num>
  <w:num w:numId="2">
    <w:abstractNumId w:val="26"/>
  </w:num>
  <w:num w:numId="3">
    <w:abstractNumId w:val="4"/>
  </w:num>
  <w:num w:numId="4">
    <w:abstractNumId w:val="10"/>
  </w:num>
  <w:num w:numId="5">
    <w:abstractNumId w:val="3"/>
  </w:num>
  <w:num w:numId="6">
    <w:abstractNumId w:val="21"/>
  </w:num>
  <w:num w:numId="7">
    <w:abstractNumId w:val="9"/>
  </w:num>
  <w:num w:numId="8">
    <w:abstractNumId w:val="5"/>
  </w:num>
  <w:num w:numId="9">
    <w:abstractNumId w:val="27"/>
  </w:num>
  <w:num w:numId="10">
    <w:abstractNumId w:val="22"/>
  </w:num>
  <w:num w:numId="11">
    <w:abstractNumId w:val="14"/>
  </w:num>
  <w:num w:numId="12">
    <w:abstractNumId w:val="17"/>
  </w:num>
  <w:num w:numId="13">
    <w:abstractNumId w:val="15"/>
  </w:num>
  <w:num w:numId="14">
    <w:abstractNumId w:val="11"/>
  </w:num>
  <w:num w:numId="15">
    <w:abstractNumId w:val="12"/>
  </w:num>
  <w:num w:numId="16">
    <w:abstractNumId w:val="16"/>
  </w:num>
  <w:num w:numId="17">
    <w:abstractNumId w:val="29"/>
  </w:num>
  <w:num w:numId="18">
    <w:abstractNumId w:val="28"/>
  </w:num>
  <w:num w:numId="19">
    <w:abstractNumId w:val="23"/>
  </w:num>
  <w:num w:numId="20">
    <w:abstractNumId w:val="2"/>
  </w:num>
  <w:num w:numId="21">
    <w:abstractNumId w:val="24"/>
  </w:num>
  <w:num w:numId="22">
    <w:abstractNumId w:val="20"/>
  </w:num>
  <w:num w:numId="23">
    <w:abstractNumId w:val="13"/>
  </w:num>
  <w:num w:numId="24">
    <w:abstractNumId w:val="18"/>
  </w:num>
  <w:num w:numId="25">
    <w:abstractNumId w:val="8"/>
  </w:num>
  <w:num w:numId="26">
    <w:abstractNumId w:val="6"/>
  </w:num>
  <w:num w:numId="27">
    <w:abstractNumId w:val="7"/>
  </w:num>
  <w:num w:numId="28">
    <w:abstractNumId w:val="1"/>
  </w:num>
  <w:num w:numId="29">
    <w:abstractNumId w:val="0"/>
  </w:num>
  <w:num w:numId="30">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FB6"/>
    <w:rsid w:val="000519A9"/>
    <w:rsid w:val="000A3DC9"/>
    <w:rsid w:val="000F099B"/>
    <w:rsid w:val="00122FF1"/>
    <w:rsid w:val="0014683D"/>
    <w:rsid w:val="00187127"/>
    <w:rsid w:val="001E6000"/>
    <w:rsid w:val="00225C3B"/>
    <w:rsid w:val="0025448C"/>
    <w:rsid w:val="00255DF9"/>
    <w:rsid w:val="00274728"/>
    <w:rsid w:val="002777E6"/>
    <w:rsid w:val="00296890"/>
    <w:rsid w:val="002B60D0"/>
    <w:rsid w:val="002D35BF"/>
    <w:rsid w:val="00305168"/>
    <w:rsid w:val="00343B27"/>
    <w:rsid w:val="003629D9"/>
    <w:rsid w:val="00373A62"/>
    <w:rsid w:val="003E423E"/>
    <w:rsid w:val="00411900"/>
    <w:rsid w:val="004A6248"/>
    <w:rsid w:val="004C4BE0"/>
    <w:rsid w:val="004C7B85"/>
    <w:rsid w:val="004D22CB"/>
    <w:rsid w:val="00500B3B"/>
    <w:rsid w:val="00543245"/>
    <w:rsid w:val="00556D86"/>
    <w:rsid w:val="005B2F43"/>
    <w:rsid w:val="00616265"/>
    <w:rsid w:val="0064758A"/>
    <w:rsid w:val="00680FB9"/>
    <w:rsid w:val="006824F3"/>
    <w:rsid w:val="00696E45"/>
    <w:rsid w:val="006A163B"/>
    <w:rsid w:val="006E78D6"/>
    <w:rsid w:val="007224B9"/>
    <w:rsid w:val="00750099"/>
    <w:rsid w:val="00791669"/>
    <w:rsid w:val="007A76F4"/>
    <w:rsid w:val="007C1FB6"/>
    <w:rsid w:val="007E0980"/>
    <w:rsid w:val="007E5BF1"/>
    <w:rsid w:val="007F5968"/>
    <w:rsid w:val="00843146"/>
    <w:rsid w:val="0086223A"/>
    <w:rsid w:val="008A4CCE"/>
    <w:rsid w:val="008E4BEC"/>
    <w:rsid w:val="008E5ADB"/>
    <w:rsid w:val="009543F1"/>
    <w:rsid w:val="00955FD3"/>
    <w:rsid w:val="00967526"/>
    <w:rsid w:val="00982075"/>
    <w:rsid w:val="0098415C"/>
    <w:rsid w:val="00992986"/>
    <w:rsid w:val="009A0990"/>
    <w:rsid w:val="009A58F2"/>
    <w:rsid w:val="00A94D11"/>
    <w:rsid w:val="00B546D7"/>
    <w:rsid w:val="00B9759F"/>
    <w:rsid w:val="00BC0293"/>
    <w:rsid w:val="00BE3E98"/>
    <w:rsid w:val="00C47E6E"/>
    <w:rsid w:val="00C82497"/>
    <w:rsid w:val="00CB2BF4"/>
    <w:rsid w:val="00E42207"/>
    <w:rsid w:val="00E609FD"/>
    <w:rsid w:val="00F019F8"/>
    <w:rsid w:val="00F1775E"/>
    <w:rsid w:val="00FA311E"/>
    <w:rsid w:val="00FB4862"/>
    <w:rsid w:val="00FB75E3"/>
    <w:rsid w:val="00FC15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08799"/>
  <w15:docId w15:val="{8D9BEEE2-6D69-4D41-9787-6D0423EDA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link w:val="Ttulo1Car"/>
    <w:uiPriority w:val="9"/>
    <w:qFormat/>
    <w:pPr>
      <w:ind w:left="1922" w:hanging="360"/>
      <w:outlineLvl w:val="0"/>
    </w:pPr>
    <w:rPr>
      <w:b/>
      <w:bCs/>
      <w:sz w:val="24"/>
      <w:szCs w:val="24"/>
    </w:rPr>
  </w:style>
  <w:style w:type="paragraph" w:styleId="Ttulo2">
    <w:name w:val="heading 2"/>
    <w:basedOn w:val="Normal"/>
    <w:link w:val="Ttulo2Car"/>
    <w:uiPriority w:val="9"/>
    <w:qFormat/>
    <w:pPr>
      <w:spacing w:before="19"/>
      <w:ind w:left="108"/>
      <w:outlineLvl w:val="1"/>
    </w:pPr>
    <w:rPr>
      <w:b/>
      <w:bCs/>
      <w:i/>
      <w:sz w:val="24"/>
      <w:szCs w:val="24"/>
    </w:rPr>
  </w:style>
  <w:style w:type="paragraph" w:styleId="Ttulo3">
    <w:name w:val="heading 3"/>
    <w:basedOn w:val="Normal"/>
    <w:next w:val="Normal"/>
    <w:link w:val="Ttulo3Car"/>
    <w:uiPriority w:val="9"/>
    <w:qFormat/>
    <w:rsid w:val="009543F1"/>
    <w:pPr>
      <w:keepNext/>
      <w:keepLines/>
      <w:widowControl/>
      <w:autoSpaceDE/>
      <w:autoSpaceDN/>
      <w:spacing w:before="40"/>
      <w:ind w:left="1080" w:hanging="720"/>
      <w:jc w:val="both"/>
      <w:outlineLvl w:val="2"/>
    </w:pPr>
    <w:rPr>
      <w:b/>
      <w:color w:val="2E75B5"/>
      <w:lang w:val="es-CO" w:eastAsia="es-CO"/>
    </w:rPr>
  </w:style>
  <w:style w:type="paragraph" w:styleId="Ttulo4">
    <w:name w:val="heading 4"/>
    <w:basedOn w:val="Normal"/>
    <w:next w:val="Normal"/>
    <w:link w:val="Ttulo4Car"/>
    <w:uiPriority w:val="9"/>
    <w:qFormat/>
    <w:rsid w:val="009543F1"/>
    <w:pPr>
      <w:keepNext/>
      <w:keepLines/>
      <w:widowControl/>
      <w:autoSpaceDE/>
      <w:autoSpaceDN/>
      <w:spacing w:before="40"/>
      <w:ind w:left="993" w:hanging="939"/>
      <w:jc w:val="both"/>
      <w:outlineLvl w:val="3"/>
    </w:pPr>
    <w:rPr>
      <w:b/>
      <w:color w:val="000000"/>
      <w:lang w:val="es-CO" w:eastAsia="es-CO"/>
    </w:rPr>
  </w:style>
  <w:style w:type="paragraph" w:styleId="Ttulo5">
    <w:name w:val="heading 5"/>
    <w:basedOn w:val="Normal"/>
    <w:next w:val="Normal"/>
    <w:link w:val="Ttulo5Car"/>
    <w:uiPriority w:val="9"/>
    <w:qFormat/>
    <w:rsid w:val="009543F1"/>
    <w:pPr>
      <w:keepNext/>
      <w:keepLines/>
      <w:widowControl/>
      <w:autoSpaceDE/>
      <w:autoSpaceDN/>
      <w:spacing w:before="40"/>
      <w:ind w:left="1008" w:hanging="1008"/>
      <w:outlineLvl w:val="4"/>
    </w:pPr>
    <w:rPr>
      <w:rFonts w:ascii="Calibri" w:eastAsia="Calibri" w:hAnsi="Calibri" w:cs="Calibri"/>
      <w:color w:val="2E75B5"/>
      <w:sz w:val="24"/>
      <w:szCs w:val="24"/>
      <w:lang w:val="es-CO" w:eastAsia="es-CO"/>
    </w:rPr>
  </w:style>
  <w:style w:type="paragraph" w:styleId="Ttulo6">
    <w:name w:val="heading 6"/>
    <w:basedOn w:val="Normal"/>
    <w:next w:val="Normal"/>
    <w:link w:val="Ttulo6Car"/>
    <w:uiPriority w:val="9"/>
    <w:qFormat/>
    <w:rsid w:val="009543F1"/>
    <w:pPr>
      <w:keepNext/>
      <w:keepLines/>
      <w:widowControl/>
      <w:autoSpaceDE/>
      <w:autoSpaceDN/>
      <w:spacing w:before="40"/>
      <w:ind w:left="1152" w:hanging="1152"/>
      <w:outlineLvl w:val="5"/>
    </w:pPr>
    <w:rPr>
      <w:rFonts w:ascii="Calibri" w:eastAsia="Calibri" w:hAnsi="Calibri" w:cs="Calibri"/>
      <w:color w:val="1E4D78"/>
      <w:sz w:val="24"/>
      <w:szCs w:val="24"/>
      <w:lang w:val="es-CO" w:eastAsia="es-CO"/>
    </w:rPr>
  </w:style>
  <w:style w:type="paragraph" w:styleId="Ttulo7">
    <w:name w:val="heading 7"/>
    <w:basedOn w:val="Normal"/>
    <w:next w:val="Normal"/>
    <w:link w:val="Ttulo7Car"/>
    <w:uiPriority w:val="9"/>
    <w:semiHidden/>
    <w:unhideWhenUsed/>
    <w:qFormat/>
    <w:rsid w:val="009543F1"/>
    <w:pPr>
      <w:keepNext/>
      <w:keepLines/>
      <w:widowControl/>
      <w:autoSpaceDE/>
      <w:autoSpaceDN/>
      <w:spacing w:before="40"/>
      <w:ind w:left="1296" w:hanging="1296"/>
      <w:outlineLvl w:val="6"/>
    </w:pPr>
    <w:rPr>
      <w:rFonts w:asciiTheme="majorHAnsi" w:eastAsiaTheme="majorEastAsia" w:hAnsiTheme="majorHAnsi" w:cstheme="majorBidi"/>
      <w:i/>
      <w:iCs/>
      <w:color w:val="243F60" w:themeColor="accent1" w:themeShade="7F"/>
      <w:sz w:val="24"/>
      <w:szCs w:val="24"/>
      <w:lang w:val="es-CO" w:eastAsia="es-CO"/>
    </w:rPr>
  </w:style>
  <w:style w:type="paragraph" w:styleId="Ttulo8">
    <w:name w:val="heading 8"/>
    <w:basedOn w:val="Normal"/>
    <w:next w:val="Normal"/>
    <w:link w:val="Ttulo8Car"/>
    <w:uiPriority w:val="9"/>
    <w:semiHidden/>
    <w:unhideWhenUsed/>
    <w:qFormat/>
    <w:rsid w:val="009543F1"/>
    <w:pPr>
      <w:keepNext/>
      <w:keepLines/>
      <w:widowControl/>
      <w:autoSpaceDE/>
      <w:autoSpaceDN/>
      <w:spacing w:before="40"/>
      <w:ind w:left="1440" w:hanging="1440"/>
      <w:outlineLvl w:val="7"/>
    </w:pPr>
    <w:rPr>
      <w:rFonts w:asciiTheme="majorHAnsi" w:eastAsiaTheme="majorEastAsia" w:hAnsiTheme="majorHAnsi" w:cstheme="majorBidi"/>
      <w:color w:val="272727" w:themeColor="text1" w:themeTint="D8"/>
      <w:sz w:val="21"/>
      <w:szCs w:val="21"/>
      <w:lang w:val="es-CO" w:eastAsia="es-CO"/>
    </w:rPr>
  </w:style>
  <w:style w:type="paragraph" w:styleId="Ttulo9">
    <w:name w:val="heading 9"/>
    <w:basedOn w:val="Normal"/>
    <w:next w:val="Normal"/>
    <w:link w:val="Ttulo9Car"/>
    <w:uiPriority w:val="9"/>
    <w:semiHidden/>
    <w:unhideWhenUsed/>
    <w:qFormat/>
    <w:rsid w:val="009543F1"/>
    <w:pPr>
      <w:keepNext/>
      <w:keepLines/>
      <w:widowControl/>
      <w:autoSpaceDE/>
      <w:autoSpaceDN/>
      <w:spacing w:before="40"/>
      <w:ind w:left="1584" w:hanging="1584"/>
      <w:outlineLvl w:val="8"/>
    </w:pPr>
    <w:rPr>
      <w:rFonts w:asciiTheme="majorHAnsi" w:eastAsiaTheme="majorEastAsia" w:hAnsiTheme="majorHAnsi" w:cstheme="majorBidi"/>
      <w:i/>
      <w:iCs/>
      <w:color w:val="272727" w:themeColor="text1" w:themeTint="D8"/>
      <w:sz w:val="21"/>
      <w:szCs w:val="21"/>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0"/>
      <w:ind w:left="1602" w:hanging="401"/>
    </w:pPr>
    <w:rPr>
      <w:rFonts w:ascii="Caladea" w:eastAsia="Caladea" w:hAnsi="Caladea" w:cs="Caladea"/>
      <w:b/>
      <w:bCs/>
      <w:sz w:val="24"/>
      <w:szCs w:val="24"/>
    </w:rPr>
  </w:style>
  <w:style w:type="paragraph" w:styleId="TDC2">
    <w:name w:val="toc 2"/>
    <w:basedOn w:val="Normal"/>
    <w:uiPriority w:val="39"/>
    <w:qFormat/>
    <w:pPr>
      <w:spacing w:line="257" w:lineRule="exact"/>
      <w:ind w:left="2001" w:hanging="560"/>
    </w:pPr>
    <w:rPr>
      <w:rFonts w:ascii="Caladea" w:eastAsia="Caladea" w:hAnsi="Caladea" w:cs="Caladea"/>
      <w:b/>
      <w:bCs/>
    </w:rPr>
  </w:style>
  <w:style w:type="paragraph" w:styleId="TDC3">
    <w:name w:val="toc 3"/>
    <w:basedOn w:val="Normal"/>
    <w:uiPriority w:val="39"/>
    <w:qFormat/>
    <w:pPr>
      <w:spacing w:line="257" w:lineRule="exact"/>
      <w:ind w:left="2402" w:hanging="720"/>
    </w:pPr>
    <w:rPr>
      <w:rFonts w:ascii="Caladea" w:eastAsia="Caladea" w:hAnsi="Caladea" w:cs="Caladea"/>
    </w:rPr>
  </w:style>
  <w:style w:type="paragraph" w:styleId="Textoindependiente">
    <w:name w:val="Body Text"/>
    <w:basedOn w:val="Normal"/>
    <w:uiPriority w:val="1"/>
    <w:qFormat/>
    <w:rPr>
      <w:sz w:val="24"/>
      <w:szCs w:val="24"/>
    </w:rPr>
  </w:style>
  <w:style w:type="paragraph" w:styleId="Prrafodelista">
    <w:name w:val="List Paragraph"/>
    <w:aliases w:val="Segundo nivel de viñetas,lp1,Bullet List,FooterText,numbered,List Paragraph1,Paragraphe de liste1,HOJA,Bolita,Párrafo de lista4,BOLADEF,Párrafo de lista3,Párrafo de lista21,BOLA,Nivel 1 OS,Colorful List Accent 1"/>
    <w:basedOn w:val="Normal"/>
    <w:link w:val="PrrafodelistaCar"/>
    <w:uiPriority w:val="34"/>
    <w:qFormat/>
    <w:pPr>
      <w:ind w:left="1922" w:hanging="360"/>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500B3B"/>
    <w:rPr>
      <w:color w:val="0563C1"/>
      <w:u w:val="single"/>
    </w:rPr>
  </w:style>
  <w:style w:type="paragraph" w:styleId="NormalWeb">
    <w:name w:val="Normal (Web)"/>
    <w:basedOn w:val="Normal"/>
    <w:uiPriority w:val="99"/>
    <w:unhideWhenUsed/>
    <w:rsid w:val="00500B3B"/>
    <w:pPr>
      <w:widowControl/>
      <w:autoSpaceDE/>
      <w:autoSpaceDN/>
      <w:spacing w:before="100" w:beforeAutospacing="1" w:after="100" w:afterAutospacing="1"/>
    </w:pPr>
    <w:rPr>
      <w:rFonts w:ascii="Times New Roman" w:eastAsiaTheme="minorHAnsi" w:hAnsi="Times New Roman" w:cs="Times New Roman"/>
      <w:sz w:val="24"/>
      <w:szCs w:val="24"/>
      <w:lang w:val="es-CO" w:eastAsia="es-CO"/>
    </w:rPr>
  </w:style>
  <w:style w:type="paragraph" w:styleId="TtuloTDC">
    <w:name w:val="TOC Heading"/>
    <w:basedOn w:val="Ttulo1"/>
    <w:next w:val="Normal"/>
    <w:uiPriority w:val="39"/>
    <w:unhideWhenUsed/>
    <w:qFormat/>
    <w:rsid w:val="009543F1"/>
    <w:pPr>
      <w:keepNext/>
      <w:keepLines/>
      <w:spacing w:before="240"/>
      <w:ind w:left="0" w:firstLine="0"/>
      <w:outlineLvl w:val="9"/>
    </w:pPr>
    <w:rPr>
      <w:rFonts w:asciiTheme="majorHAnsi" w:eastAsiaTheme="majorEastAsia" w:hAnsiTheme="majorHAnsi" w:cstheme="majorBidi"/>
      <w:b w:val="0"/>
      <w:bCs w:val="0"/>
      <w:color w:val="365F91" w:themeColor="accent1" w:themeShade="BF"/>
      <w:sz w:val="32"/>
      <w:szCs w:val="32"/>
    </w:rPr>
  </w:style>
  <w:style w:type="character" w:customStyle="1" w:styleId="Ttulo3Car">
    <w:name w:val="Título 3 Car"/>
    <w:basedOn w:val="Fuentedeprrafopredeter"/>
    <w:link w:val="Ttulo3"/>
    <w:uiPriority w:val="9"/>
    <w:rsid w:val="009543F1"/>
    <w:rPr>
      <w:rFonts w:ascii="Arial" w:eastAsia="Arial" w:hAnsi="Arial" w:cs="Arial"/>
      <w:b/>
      <w:color w:val="2E75B5"/>
      <w:lang w:val="es-CO" w:eastAsia="es-CO"/>
    </w:rPr>
  </w:style>
  <w:style w:type="character" w:customStyle="1" w:styleId="Ttulo4Car">
    <w:name w:val="Título 4 Car"/>
    <w:basedOn w:val="Fuentedeprrafopredeter"/>
    <w:link w:val="Ttulo4"/>
    <w:uiPriority w:val="9"/>
    <w:rsid w:val="009543F1"/>
    <w:rPr>
      <w:rFonts w:ascii="Arial" w:eastAsia="Arial" w:hAnsi="Arial" w:cs="Arial"/>
      <w:b/>
      <w:color w:val="000000"/>
      <w:lang w:val="es-CO" w:eastAsia="es-CO"/>
    </w:rPr>
  </w:style>
  <w:style w:type="character" w:customStyle="1" w:styleId="Ttulo5Car">
    <w:name w:val="Título 5 Car"/>
    <w:basedOn w:val="Fuentedeprrafopredeter"/>
    <w:link w:val="Ttulo5"/>
    <w:uiPriority w:val="9"/>
    <w:rsid w:val="009543F1"/>
    <w:rPr>
      <w:rFonts w:ascii="Calibri" w:eastAsia="Calibri" w:hAnsi="Calibri" w:cs="Calibri"/>
      <w:color w:val="2E75B5"/>
      <w:sz w:val="24"/>
      <w:szCs w:val="24"/>
      <w:lang w:val="es-CO" w:eastAsia="es-CO"/>
    </w:rPr>
  </w:style>
  <w:style w:type="character" w:customStyle="1" w:styleId="Ttulo6Car">
    <w:name w:val="Título 6 Car"/>
    <w:basedOn w:val="Fuentedeprrafopredeter"/>
    <w:link w:val="Ttulo6"/>
    <w:uiPriority w:val="9"/>
    <w:rsid w:val="009543F1"/>
    <w:rPr>
      <w:rFonts w:ascii="Calibri" w:eastAsia="Calibri" w:hAnsi="Calibri" w:cs="Calibri"/>
      <w:color w:val="1E4D78"/>
      <w:sz w:val="24"/>
      <w:szCs w:val="24"/>
      <w:lang w:val="es-CO" w:eastAsia="es-CO"/>
    </w:rPr>
  </w:style>
  <w:style w:type="character" w:customStyle="1" w:styleId="Ttulo7Car">
    <w:name w:val="Título 7 Car"/>
    <w:basedOn w:val="Fuentedeprrafopredeter"/>
    <w:link w:val="Ttulo7"/>
    <w:uiPriority w:val="9"/>
    <w:semiHidden/>
    <w:rsid w:val="009543F1"/>
    <w:rPr>
      <w:rFonts w:asciiTheme="majorHAnsi" w:eastAsiaTheme="majorEastAsia" w:hAnsiTheme="majorHAnsi" w:cstheme="majorBidi"/>
      <w:i/>
      <w:iCs/>
      <w:color w:val="243F60" w:themeColor="accent1" w:themeShade="7F"/>
      <w:sz w:val="24"/>
      <w:szCs w:val="24"/>
      <w:lang w:val="es-CO" w:eastAsia="es-CO"/>
    </w:rPr>
  </w:style>
  <w:style w:type="character" w:customStyle="1" w:styleId="Ttulo8Car">
    <w:name w:val="Título 8 Car"/>
    <w:basedOn w:val="Fuentedeprrafopredeter"/>
    <w:link w:val="Ttulo8"/>
    <w:uiPriority w:val="9"/>
    <w:semiHidden/>
    <w:rsid w:val="009543F1"/>
    <w:rPr>
      <w:rFonts w:asciiTheme="majorHAnsi" w:eastAsiaTheme="majorEastAsia" w:hAnsiTheme="majorHAnsi" w:cstheme="majorBidi"/>
      <w:color w:val="272727" w:themeColor="text1" w:themeTint="D8"/>
      <w:sz w:val="21"/>
      <w:szCs w:val="21"/>
      <w:lang w:val="es-CO" w:eastAsia="es-CO"/>
    </w:rPr>
  </w:style>
  <w:style w:type="character" w:customStyle="1" w:styleId="Ttulo9Car">
    <w:name w:val="Título 9 Car"/>
    <w:basedOn w:val="Fuentedeprrafopredeter"/>
    <w:link w:val="Ttulo9"/>
    <w:uiPriority w:val="9"/>
    <w:semiHidden/>
    <w:rsid w:val="009543F1"/>
    <w:rPr>
      <w:rFonts w:asciiTheme="majorHAnsi" w:eastAsiaTheme="majorEastAsia" w:hAnsiTheme="majorHAnsi" w:cstheme="majorBidi"/>
      <w:i/>
      <w:iCs/>
      <w:color w:val="272727" w:themeColor="text1" w:themeTint="D8"/>
      <w:sz w:val="21"/>
      <w:szCs w:val="21"/>
      <w:lang w:val="es-CO" w:eastAsia="es-CO"/>
    </w:rPr>
  </w:style>
  <w:style w:type="paragraph" w:styleId="Ttulo">
    <w:name w:val="Title"/>
    <w:basedOn w:val="Normal"/>
    <w:next w:val="Normal"/>
    <w:link w:val="TtuloCar"/>
    <w:uiPriority w:val="10"/>
    <w:qFormat/>
    <w:rsid w:val="009543F1"/>
    <w:pPr>
      <w:widowControl/>
      <w:autoSpaceDE/>
      <w:autoSpaceDN/>
      <w:contextualSpacing/>
      <w:jc w:val="both"/>
    </w:pPr>
    <w:rPr>
      <w:rFonts w:ascii="Calibri" w:eastAsia="Calibri" w:hAnsi="Calibri" w:cs="Calibri"/>
      <w:b/>
      <w:sz w:val="48"/>
      <w:szCs w:val="48"/>
      <w:lang w:val="es-CO" w:eastAsia="es-CO"/>
    </w:rPr>
  </w:style>
  <w:style w:type="character" w:customStyle="1" w:styleId="TtuloCar">
    <w:name w:val="Título Car"/>
    <w:basedOn w:val="Fuentedeprrafopredeter"/>
    <w:link w:val="Ttulo"/>
    <w:uiPriority w:val="10"/>
    <w:rsid w:val="009543F1"/>
    <w:rPr>
      <w:rFonts w:ascii="Calibri" w:eastAsia="Calibri" w:hAnsi="Calibri" w:cs="Calibri"/>
      <w:b/>
      <w:sz w:val="48"/>
      <w:szCs w:val="48"/>
      <w:lang w:val="es-CO" w:eastAsia="es-CO"/>
    </w:rPr>
  </w:style>
  <w:style w:type="paragraph" w:styleId="Subttulo">
    <w:name w:val="Subtitle"/>
    <w:basedOn w:val="Normal"/>
    <w:next w:val="Normal"/>
    <w:link w:val="SubttuloCar"/>
    <w:uiPriority w:val="11"/>
    <w:qFormat/>
    <w:rsid w:val="009543F1"/>
    <w:pPr>
      <w:widowControl/>
      <w:autoSpaceDE/>
      <w:autoSpaceDN/>
      <w:spacing w:after="160"/>
      <w:jc w:val="both"/>
    </w:pPr>
    <w:rPr>
      <w:rFonts w:ascii="Calibri" w:eastAsia="Calibri" w:hAnsi="Calibri" w:cs="Calibri"/>
      <w:sz w:val="24"/>
      <w:szCs w:val="24"/>
      <w:lang w:val="es-CO" w:eastAsia="es-CO"/>
    </w:rPr>
  </w:style>
  <w:style w:type="character" w:customStyle="1" w:styleId="SubttuloCar">
    <w:name w:val="Subtítulo Car"/>
    <w:basedOn w:val="Fuentedeprrafopredeter"/>
    <w:link w:val="Subttulo"/>
    <w:uiPriority w:val="11"/>
    <w:rsid w:val="009543F1"/>
    <w:rPr>
      <w:rFonts w:ascii="Calibri" w:eastAsia="Calibri" w:hAnsi="Calibri" w:cs="Calibri"/>
      <w:sz w:val="24"/>
      <w:szCs w:val="24"/>
      <w:lang w:val="es-CO" w:eastAsia="es-CO"/>
    </w:rPr>
  </w:style>
  <w:style w:type="paragraph" w:styleId="Textocomentario">
    <w:name w:val="annotation text"/>
    <w:basedOn w:val="Normal"/>
    <w:link w:val="TextocomentarioCar"/>
    <w:uiPriority w:val="99"/>
    <w:unhideWhenUsed/>
    <w:rsid w:val="009543F1"/>
    <w:pPr>
      <w:widowControl/>
      <w:autoSpaceDE/>
      <w:autoSpaceDN/>
      <w:jc w:val="both"/>
    </w:pPr>
    <w:rPr>
      <w:rFonts w:ascii="Open Sans" w:eastAsia="Open Sans" w:hAnsi="Open Sans" w:cs="Open Sans"/>
      <w:sz w:val="20"/>
      <w:szCs w:val="20"/>
      <w:lang w:val="es-CO" w:eastAsia="es-CO"/>
    </w:rPr>
  </w:style>
  <w:style w:type="character" w:customStyle="1" w:styleId="TextocomentarioCar">
    <w:name w:val="Texto comentario Car"/>
    <w:basedOn w:val="Fuentedeprrafopredeter"/>
    <w:link w:val="Textocomentario"/>
    <w:uiPriority w:val="99"/>
    <w:rsid w:val="009543F1"/>
    <w:rPr>
      <w:rFonts w:ascii="Open Sans" w:eastAsia="Open Sans" w:hAnsi="Open Sans" w:cs="Open Sans"/>
      <w:sz w:val="20"/>
      <w:szCs w:val="20"/>
      <w:lang w:val="es-CO" w:eastAsia="es-CO"/>
    </w:rPr>
  </w:style>
  <w:style w:type="character" w:styleId="Refdecomentario">
    <w:name w:val="annotation reference"/>
    <w:basedOn w:val="Fuentedeprrafopredeter"/>
    <w:uiPriority w:val="99"/>
    <w:semiHidden/>
    <w:unhideWhenUsed/>
    <w:rsid w:val="009543F1"/>
    <w:rPr>
      <w:sz w:val="16"/>
      <w:szCs w:val="16"/>
    </w:rPr>
  </w:style>
  <w:style w:type="paragraph" w:styleId="Textodeglobo">
    <w:name w:val="Balloon Text"/>
    <w:basedOn w:val="Normal"/>
    <w:link w:val="TextodegloboCar"/>
    <w:uiPriority w:val="99"/>
    <w:semiHidden/>
    <w:unhideWhenUsed/>
    <w:rsid w:val="009543F1"/>
    <w:pPr>
      <w:widowControl/>
      <w:autoSpaceDE/>
      <w:autoSpaceDN/>
      <w:jc w:val="both"/>
    </w:pPr>
    <w:rPr>
      <w:rFonts w:ascii="Segoe UI" w:eastAsia="Open Sans" w:hAnsi="Segoe UI" w:cs="Segoe UI"/>
      <w:sz w:val="18"/>
      <w:szCs w:val="18"/>
      <w:lang w:val="es-CO" w:eastAsia="es-CO"/>
    </w:rPr>
  </w:style>
  <w:style w:type="character" w:customStyle="1" w:styleId="TextodegloboCar">
    <w:name w:val="Texto de globo Car"/>
    <w:basedOn w:val="Fuentedeprrafopredeter"/>
    <w:link w:val="Textodeglobo"/>
    <w:uiPriority w:val="99"/>
    <w:semiHidden/>
    <w:rsid w:val="009543F1"/>
    <w:rPr>
      <w:rFonts w:ascii="Segoe UI" w:eastAsia="Open Sans" w:hAnsi="Segoe UI" w:cs="Segoe UI"/>
      <w:sz w:val="18"/>
      <w:szCs w:val="18"/>
      <w:lang w:val="es-CO" w:eastAsia="es-CO"/>
    </w:rPr>
  </w:style>
  <w:style w:type="paragraph" w:styleId="Asuntodelcomentario">
    <w:name w:val="annotation subject"/>
    <w:basedOn w:val="Textocomentario"/>
    <w:next w:val="Textocomentario"/>
    <w:link w:val="AsuntodelcomentarioCar"/>
    <w:uiPriority w:val="99"/>
    <w:semiHidden/>
    <w:unhideWhenUsed/>
    <w:rsid w:val="009543F1"/>
    <w:rPr>
      <w:b/>
      <w:bCs/>
    </w:rPr>
  </w:style>
  <w:style w:type="character" w:customStyle="1" w:styleId="AsuntodelcomentarioCar">
    <w:name w:val="Asunto del comentario Car"/>
    <w:basedOn w:val="TextocomentarioCar"/>
    <w:link w:val="Asuntodelcomentario"/>
    <w:uiPriority w:val="99"/>
    <w:semiHidden/>
    <w:rsid w:val="009543F1"/>
    <w:rPr>
      <w:rFonts w:ascii="Open Sans" w:eastAsia="Open Sans" w:hAnsi="Open Sans" w:cs="Open Sans"/>
      <w:b/>
      <w:bCs/>
      <w:sz w:val="20"/>
      <w:szCs w:val="20"/>
      <w:lang w:val="es-CO" w:eastAsia="es-CO"/>
    </w:rPr>
  </w:style>
  <w:style w:type="paragraph" w:styleId="Encabezado">
    <w:name w:val="header"/>
    <w:aliases w:val="header odd,header odd1,header odd2,header odd3,header odd4,header odd5,header odd6,header1,header2,header3,header odd11,header odd21,header odd7,header4,header odd8,header odd9,header5,header odd12,header11,header21,header odd22,header31,h,he"/>
    <w:basedOn w:val="Normal"/>
    <w:link w:val="EncabezadoCar"/>
    <w:uiPriority w:val="99"/>
    <w:unhideWhenUsed/>
    <w:rsid w:val="009543F1"/>
    <w:pPr>
      <w:widowControl/>
      <w:tabs>
        <w:tab w:val="center" w:pos="4419"/>
        <w:tab w:val="right" w:pos="8838"/>
      </w:tabs>
      <w:autoSpaceDE/>
      <w:autoSpaceDN/>
      <w:jc w:val="both"/>
    </w:pPr>
    <w:rPr>
      <w:rFonts w:ascii="Open Sans" w:eastAsia="Open Sans" w:hAnsi="Open Sans" w:cs="Open Sans"/>
      <w:lang w:val="es-CO" w:eastAsia="es-CO"/>
    </w:rPr>
  </w:style>
  <w:style w:type="character" w:customStyle="1" w:styleId="EncabezadoCar">
    <w:name w:val="Encabezado Car"/>
    <w:aliases w:val="header odd Car,header odd1 Car,header odd2 Car,header odd3 Car,header odd4 Car,header odd5 Car,header odd6 Car,header1 Car,header2 Car,header3 Car,header odd11 Car,header odd21 Car,header odd7 Car,header4 Car,header odd8 Car,header5 Car"/>
    <w:basedOn w:val="Fuentedeprrafopredeter"/>
    <w:link w:val="Encabezado"/>
    <w:uiPriority w:val="99"/>
    <w:rsid w:val="009543F1"/>
    <w:rPr>
      <w:rFonts w:ascii="Open Sans" w:eastAsia="Open Sans" w:hAnsi="Open Sans" w:cs="Open Sans"/>
      <w:lang w:val="es-CO" w:eastAsia="es-CO"/>
    </w:rPr>
  </w:style>
  <w:style w:type="paragraph" w:styleId="Piedepgina">
    <w:name w:val="footer"/>
    <w:basedOn w:val="Normal"/>
    <w:link w:val="PiedepginaCar"/>
    <w:uiPriority w:val="99"/>
    <w:unhideWhenUsed/>
    <w:rsid w:val="009543F1"/>
    <w:pPr>
      <w:widowControl/>
      <w:tabs>
        <w:tab w:val="center" w:pos="4419"/>
        <w:tab w:val="right" w:pos="8838"/>
      </w:tabs>
      <w:autoSpaceDE/>
      <w:autoSpaceDN/>
      <w:jc w:val="both"/>
    </w:pPr>
    <w:rPr>
      <w:rFonts w:ascii="Open Sans" w:eastAsia="Open Sans" w:hAnsi="Open Sans" w:cs="Open Sans"/>
      <w:lang w:val="es-CO" w:eastAsia="es-CO"/>
    </w:rPr>
  </w:style>
  <w:style w:type="character" w:customStyle="1" w:styleId="PiedepginaCar">
    <w:name w:val="Pie de página Car"/>
    <w:basedOn w:val="Fuentedeprrafopredeter"/>
    <w:link w:val="Piedepgina"/>
    <w:uiPriority w:val="99"/>
    <w:rsid w:val="009543F1"/>
    <w:rPr>
      <w:rFonts w:ascii="Open Sans" w:eastAsia="Open Sans" w:hAnsi="Open Sans" w:cs="Open Sans"/>
      <w:lang w:val="es-CO" w:eastAsia="es-CO"/>
    </w:rPr>
  </w:style>
  <w:style w:type="paragraph" w:styleId="Textonotapie">
    <w:name w:val="footnote text"/>
    <w:basedOn w:val="Normal"/>
    <w:link w:val="TextonotapieCar"/>
    <w:uiPriority w:val="99"/>
    <w:semiHidden/>
    <w:unhideWhenUsed/>
    <w:rsid w:val="009543F1"/>
    <w:pPr>
      <w:widowControl/>
      <w:autoSpaceDE/>
      <w:autoSpaceDN/>
      <w:jc w:val="both"/>
    </w:pPr>
    <w:rPr>
      <w:rFonts w:ascii="Open Sans" w:eastAsia="Open Sans" w:hAnsi="Open Sans" w:cs="Open Sans"/>
      <w:sz w:val="20"/>
      <w:szCs w:val="20"/>
      <w:lang w:val="es-CO" w:eastAsia="es-CO"/>
    </w:rPr>
  </w:style>
  <w:style w:type="character" w:customStyle="1" w:styleId="TextonotapieCar">
    <w:name w:val="Texto nota pie Car"/>
    <w:basedOn w:val="Fuentedeprrafopredeter"/>
    <w:link w:val="Textonotapie"/>
    <w:uiPriority w:val="99"/>
    <w:semiHidden/>
    <w:rsid w:val="009543F1"/>
    <w:rPr>
      <w:rFonts w:ascii="Open Sans" w:eastAsia="Open Sans" w:hAnsi="Open Sans" w:cs="Open Sans"/>
      <w:sz w:val="20"/>
      <w:szCs w:val="20"/>
      <w:lang w:val="es-CO" w:eastAsia="es-CO"/>
    </w:rPr>
  </w:style>
  <w:style w:type="character" w:styleId="Refdenotaalpie">
    <w:name w:val="footnote reference"/>
    <w:basedOn w:val="Fuentedeprrafopredeter"/>
    <w:uiPriority w:val="99"/>
    <w:semiHidden/>
    <w:unhideWhenUsed/>
    <w:rsid w:val="009543F1"/>
    <w:rPr>
      <w:vertAlign w:val="superscript"/>
    </w:rPr>
  </w:style>
  <w:style w:type="paragraph" w:styleId="Revisin">
    <w:name w:val="Revision"/>
    <w:hidden/>
    <w:uiPriority w:val="99"/>
    <w:semiHidden/>
    <w:rsid w:val="009543F1"/>
    <w:pPr>
      <w:widowControl/>
      <w:autoSpaceDE/>
      <w:autoSpaceDN/>
    </w:pPr>
    <w:rPr>
      <w:rFonts w:ascii="Open Sans" w:eastAsia="Open Sans" w:hAnsi="Open Sans" w:cs="Open Sans"/>
      <w:lang w:val="es-CO" w:eastAsia="es-CO"/>
    </w:rPr>
  </w:style>
  <w:style w:type="paragraph" w:styleId="TDC4">
    <w:name w:val="toc 4"/>
    <w:basedOn w:val="Normal"/>
    <w:next w:val="Normal"/>
    <w:autoRedefine/>
    <w:uiPriority w:val="39"/>
    <w:unhideWhenUsed/>
    <w:rsid w:val="009543F1"/>
    <w:pPr>
      <w:widowControl/>
      <w:autoSpaceDE/>
      <w:autoSpaceDN/>
      <w:spacing w:after="100"/>
      <w:ind w:left="660"/>
      <w:jc w:val="both"/>
    </w:pPr>
    <w:rPr>
      <w:rFonts w:ascii="Open Sans" w:eastAsia="Open Sans" w:hAnsi="Open Sans" w:cs="Open Sans"/>
      <w:lang w:val="es-CO" w:eastAsia="es-CO"/>
    </w:rPr>
  </w:style>
  <w:style w:type="paragraph" w:customStyle="1" w:styleId="Estilo1">
    <w:name w:val="Estilo1"/>
    <w:basedOn w:val="Ttulo1"/>
    <w:link w:val="Estilo1Car"/>
    <w:qFormat/>
    <w:rsid w:val="009543F1"/>
    <w:pPr>
      <w:keepNext/>
      <w:keepLines/>
      <w:widowControl/>
      <w:numPr>
        <w:numId w:val="1"/>
      </w:numPr>
      <w:autoSpaceDE/>
      <w:autoSpaceDN/>
      <w:spacing w:before="320" w:after="40" w:line="252" w:lineRule="auto"/>
      <w:jc w:val="both"/>
    </w:pPr>
    <w:rPr>
      <w:bCs w:val="0"/>
      <w:sz w:val="28"/>
      <w:szCs w:val="28"/>
      <w:lang w:val="es-ES_tradnl" w:eastAsia="es-CO"/>
    </w:rPr>
  </w:style>
  <w:style w:type="character" w:customStyle="1" w:styleId="Estilo1Car">
    <w:name w:val="Estilo1 Car"/>
    <w:basedOn w:val="Fuentedeprrafopredeter"/>
    <w:link w:val="Estilo1"/>
    <w:rsid w:val="009543F1"/>
    <w:rPr>
      <w:rFonts w:ascii="Arial" w:eastAsia="Arial" w:hAnsi="Arial" w:cs="Arial"/>
      <w:b/>
      <w:sz w:val="28"/>
      <w:szCs w:val="28"/>
      <w:lang w:val="es-ES_tradnl" w:eastAsia="es-CO"/>
    </w:rPr>
  </w:style>
  <w:style w:type="paragraph" w:customStyle="1" w:styleId="Estilo2">
    <w:name w:val="Estilo2"/>
    <w:basedOn w:val="Ttulo2"/>
    <w:link w:val="Estilo2Car"/>
    <w:qFormat/>
    <w:rsid w:val="009543F1"/>
    <w:pPr>
      <w:keepNext/>
      <w:keepLines/>
      <w:widowControl/>
      <w:numPr>
        <w:ilvl w:val="1"/>
        <w:numId w:val="1"/>
      </w:numPr>
      <w:autoSpaceDE/>
      <w:autoSpaceDN/>
      <w:spacing w:before="120" w:line="252" w:lineRule="auto"/>
      <w:ind w:left="0" w:firstLine="0"/>
      <w:jc w:val="both"/>
    </w:pPr>
    <w:rPr>
      <w:bCs w:val="0"/>
      <w:i w:val="0"/>
      <w:lang w:val="es-ES_tradnl" w:eastAsia="es-CO"/>
    </w:rPr>
  </w:style>
  <w:style w:type="character" w:customStyle="1" w:styleId="Estilo2Car">
    <w:name w:val="Estilo2 Car"/>
    <w:basedOn w:val="Fuentedeprrafopredeter"/>
    <w:link w:val="Estilo2"/>
    <w:rsid w:val="009543F1"/>
    <w:rPr>
      <w:rFonts w:ascii="Arial" w:eastAsia="Arial" w:hAnsi="Arial" w:cs="Arial"/>
      <w:b/>
      <w:sz w:val="24"/>
      <w:szCs w:val="24"/>
      <w:lang w:val="es-ES_tradnl" w:eastAsia="es-CO"/>
    </w:rPr>
  </w:style>
  <w:style w:type="paragraph" w:customStyle="1" w:styleId="Estilo3">
    <w:name w:val="Estilo3"/>
    <w:basedOn w:val="Ttulo3"/>
    <w:link w:val="Estilo3Car"/>
    <w:qFormat/>
    <w:rsid w:val="009543F1"/>
    <w:pPr>
      <w:numPr>
        <w:ilvl w:val="2"/>
        <w:numId w:val="1"/>
      </w:numPr>
      <w:spacing w:before="120" w:line="252" w:lineRule="auto"/>
    </w:pPr>
    <w:rPr>
      <w:b w:val="0"/>
      <w:color w:val="000000"/>
      <w:sz w:val="24"/>
      <w:szCs w:val="24"/>
      <w:u w:val="single"/>
      <w:lang w:val="es-ES_tradnl"/>
    </w:rPr>
  </w:style>
  <w:style w:type="character" w:customStyle="1" w:styleId="Estilo3Car">
    <w:name w:val="Estilo3 Car"/>
    <w:basedOn w:val="Fuentedeprrafopredeter"/>
    <w:link w:val="Estilo3"/>
    <w:rsid w:val="009543F1"/>
    <w:rPr>
      <w:rFonts w:ascii="Arial" w:eastAsia="Arial" w:hAnsi="Arial" w:cs="Arial"/>
      <w:color w:val="000000"/>
      <w:sz w:val="24"/>
      <w:szCs w:val="24"/>
      <w:u w:val="single"/>
      <w:lang w:val="es-ES_tradnl" w:eastAsia="es-CO"/>
    </w:rPr>
  </w:style>
  <w:style w:type="paragraph" w:customStyle="1" w:styleId="Estilo4">
    <w:name w:val="Estilo4"/>
    <w:basedOn w:val="Ttulo4"/>
    <w:link w:val="Estilo4Car"/>
    <w:qFormat/>
    <w:rsid w:val="009543F1"/>
    <w:pPr>
      <w:numPr>
        <w:ilvl w:val="3"/>
        <w:numId w:val="1"/>
      </w:numPr>
      <w:spacing w:before="120" w:line="252" w:lineRule="auto"/>
    </w:pPr>
    <w:rPr>
      <w:i/>
      <w:color w:val="auto"/>
      <w:sz w:val="24"/>
      <w:szCs w:val="24"/>
      <w:lang w:val="es-ES_tradnl"/>
    </w:rPr>
  </w:style>
  <w:style w:type="character" w:customStyle="1" w:styleId="Estilo4Car">
    <w:name w:val="Estilo4 Car"/>
    <w:basedOn w:val="Fuentedeprrafopredeter"/>
    <w:link w:val="Estilo4"/>
    <w:rsid w:val="009543F1"/>
    <w:rPr>
      <w:rFonts w:ascii="Arial" w:eastAsia="Arial" w:hAnsi="Arial" w:cs="Arial"/>
      <w:b/>
      <w:i/>
      <w:sz w:val="24"/>
      <w:szCs w:val="24"/>
      <w:lang w:val="es-ES_tradnl" w:eastAsia="es-CO"/>
    </w:rPr>
  </w:style>
  <w:style w:type="paragraph" w:customStyle="1" w:styleId="ENCABEZADOSCOLCIENCIAS">
    <w:name w:val="ENCABEZADOS COLCIENCIAS"/>
    <w:basedOn w:val="Normal"/>
    <w:rsid w:val="009543F1"/>
    <w:pPr>
      <w:widowControl/>
      <w:autoSpaceDE/>
      <w:autoSpaceDN/>
      <w:spacing w:before="240" w:after="240" w:line="360" w:lineRule="auto"/>
      <w:jc w:val="both"/>
    </w:pPr>
    <w:rPr>
      <w:rFonts w:eastAsia="Times New Roman" w:cs="Times New Roman"/>
      <w:b/>
      <w:bCs/>
      <w:caps/>
      <w:color w:val="007981"/>
      <w:sz w:val="24"/>
      <w:szCs w:val="20"/>
      <w:lang w:eastAsia="es-ES"/>
    </w:rPr>
  </w:style>
  <w:style w:type="paragraph" w:styleId="Sinespaciado">
    <w:name w:val="No Spacing"/>
    <w:link w:val="SinespaciadoCar"/>
    <w:uiPriority w:val="1"/>
    <w:qFormat/>
    <w:rsid w:val="009543F1"/>
    <w:pPr>
      <w:widowControl/>
      <w:autoSpaceDE/>
      <w:autoSpaceDN/>
      <w:jc w:val="both"/>
    </w:pPr>
    <w:rPr>
      <w:rFonts w:eastAsiaTheme="minorEastAsia"/>
      <w:lang w:val="es-ES_tradnl"/>
    </w:rPr>
  </w:style>
  <w:style w:type="character" w:customStyle="1" w:styleId="SinespaciadoCar">
    <w:name w:val="Sin espaciado Car"/>
    <w:basedOn w:val="Fuentedeprrafopredeter"/>
    <w:link w:val="Sinespaciado"/>
    <w:uiPriority w:val="1"/>
    <w:rsid w:val="009543F1"/>
    <w:rPr>
      <w:rFonts w:eastAsiaTheme="minorEastAsia"/>
      <w:lang w:val="es-ES_tradnl"/>
    </w:rPr>
  </w:style>
  <w:style w:type="table" w:styleId="Tablaconcuadrcula">
    <w:name w:val="Table Grid"/>
    <w:basedOn w:val="Tablanormal"/>
    <w:uiPriority w:val="59"/>
    <w:rsid w:val="009543F1"/>
    <w:pPr>
      <w:widowControl/>
      <w:autoSpaceDE/>
      <w:autoSpaceDN/>
      <w:jc w:val="both"/>
    </w:pPr>
    <w:rPr>
      <w:rFonts w:eastAsiaTheme="minorEastAsia"/>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543F1"/>
    <w:rPr>
      <w:rFonts w:ascii="Arial" w:eastAsia="Arial" w:hAnsi="Arial" w:cs="Arial"/>
      <w:b/>
      <w:bCs/>
      <w:sz w:val="24"/>
      <w:szCs w:val="24"/>
      <w:lang w:val="es-ES"/>
    </w:rPr>
  </w:style>
  <w:style w:type="paragraph" w:styleId="Textonotaalfinal">
    <w:name w:val="endnote text"/>
    <w:basedOn w:val="Normal"/>
    <w:link w:val="TextonotaalfinalCar"/>
    <w:uiPriority w:val="99"/>
    <w:semiHidden/>
    <w:unhideWhenUsed/>
    <w:rsid w:val="009543F1"/>
    <w:pPr>
      <w:widowControl/>
      <w:autoSpaceDE/>
      <w:autoSpaceDN/>
      <w:jc w:val="both"/>
    </w:pPr>
    <w:rPr>
      <w:rFonts w:ascii="Open Sans" w:eastAsiaTheme="minorHAnsi" w:hAnsi="Open Sans" w:cstheme="minorBidi"/>
      <w:sz w:val="20"/>
      <w:szCs w:val="20"/>
      <w:lang w:val="es-CO"/>
    </w:rPr>
  </w:style>
  <w:style w:type="character" w:customStyle="1" w:styleId="TextonotaalfinalCar">
    <w:name w:val="Texto nota al final Car"/>
    <w:basedOn w:val="Fuentedeprrafopredeter"/>
    <w:link w:val="Textonotaalfinal"/>
    <w:uiPriority w:val="99"/>
    <w:semiHidden/>
    <w:rsid w:val="009543F1"/>
    <w:rPr>
      <w:rFonts w:ascii="Open Sans" w:hAnsi="Open Sans"/>
      <w:sz w:val="20"/>
      <w:szCs w:val="20"/>
      <w:lang w:val="es-CO"/>
    </w:rPr>
  </w:style>
  <w:style w:type="character" w:styleId="Refdenotaalfinal">
    <w:name w:val="endnote reference"/>
    <w:basedOn w:val="Fuentedeprrafopredeter"/>
    <w:uiPriority w:val="99"/>
    <w:semiHidden/>
    <w:unhideWhenUsed/>
    <w:rsid w:val="009543F1"/>
    <w:rPr>
      <w:vertAlign w:val="superscript"/>
    </w:rPr>
  </w:style>
  <w:style w:type="character" w:customStyle="1" w:styleId="Ttulo2Car">
    <w:name w:val="Título 2 Car"/>
    <w:basedOn w:val="Fuentedeprrafopredeter"/>
    <w:link w:val="Ttulo2"/>
    <w:uiPriority w:val="9"/>
    <w:rsid w:val="009543F1"/>
    <w:rPr>
      <w:rFonts w:ascii="Arial" w:eastAsia="Arial" w:hAnsi="Arial" w:cs="Arial"/>
      <w:b/>
      <w:bCs/>
      <w:i/>
      <w:sz w:val="24"/>
      <w:szCs w:val="24"/>
      <w:lang w:val="es-ES"/>
    </w:rPr>
  </w:style>
  <w:style w:type="character" w:customStyle="1" w:styleId="PrrafodelistaCar">
    <w:name w:val="Párrafo de lista Car"/>
    <w:aliases w:val="Segundo nivel de viñetas Car,lp1 Car,Bullet List Car,FooterText Car,numbered Car,List Paragraph1 Car,Paragraphe de liste1 Car,HOJA Car,Bolita Car,Párrafo de lista4 Car,BOLADEF Car,Párrafo de lista3 Car,Párrafo de lista21 Car"/>
    <w:link w:val="Prrafodelista"/>
    <w:uiPriority w:val="34"/>
    <w:rsid w:val="009543F1"/>
    <w:rPr>
      <w:rFonts w:ascii="Arial" w:eastAsia="Arial" w:hAnsi="Arial" w:cs="Arial"/>
      <w:lang w:val="es-ES"/>
    </w:rPr>
  </w:style>
  <w:style w:type="paragraph" w:styleId="Descripcin">
    <w:name w:val="caption"/>
    <w:basedOn w:val="Normal"/>
    <w:next w:val="Normal"/>
    <w:uiPriority w:val="35"/>
    <w:unhideWhenUsed/>
    <w:qFormat/>
    <w:rsid w:val="009543F1"/>
    <w:pPr>
      <w:widowControl/>
      <w:autoSpaceDE/>
      <w:autoSpaceDN/>
      <w:spacing w:after="200"/>
      <w:jc w:val="both"/>
    </w:pPr>
    <w:rPr>
      <w:rFonts w:ascii="Open Sans" w:eastAsiaTheme="minorHAnsi" w:hAnsi="Open Sans" w:cstheme="minorBidi"/>
      <w:i/>
      <w:iCs/>
      <w:color w:val="1F497D" w:themeColor="text2"/>
      <w:sz w:val="18"/>
      <w:szCs w:val="18"/>
      <w:lang w:val="es-CO"/>
    </w:rPr>
  </w:style>
  <w:style w:type="paragraph" w:styleId="Tabladeilustraciones">
    <w:name w:val="table of figures"/>
    <w:basedOn w:val="Normal"/>
    <w:next w:val="Normal"/>
    <w:uiPriority w:val="99"/>
    <w:unhideWhenUsed/>
    <w:rsid w:val="009543F1"/>
    <w:pPr>
      <w:widowControl/>
      <w:autoSpaceDE/>
      <w:autoSpaceDN/>
      <w:jc w:val="both"/>
    </w:pPr>
    <w:rPr>
      <w:rFonts w:ascii="Open Sans" w:eastAsiaTheme="minorHAnsi" w:hAnsi="Open Sans" w:cstheme="minorBidi"/>
      <w:lang w:val="es-CO"/>
    </w:rPr>
  </w:style>
  <w:style w:type="numbering" w:customStyle="1" w:styleId="Sinlista1">
    <w:name w:val="Sin lista1"/>
    <w:next w:val="Sinlista"/>
    <w:uiPriority w:val="99"/>
    <w:semiHidden/>
    <w:unhideWhenUsed/>
    <w:rsid w:val="009543F1"/>
  </w:style>
  <w:style w:type="paragraph" w:customStyle="1" w:styleId="NormalWeb1">
    <w:name w:val="Normal (Web)1"/>
    <w:basedOn w:val="Normal"/>
    <w:next w:val="NormalWeb"/>
    <w:uiPriority w:val="99"/>
    <w:rsid w:val="009543F1"/>
    <w:pPr>
      <w:widowControl/>
      <w:autoSpaceDE/>
      <w:autoSpaceDN/>
      <w:spacing w:beforeLines="1" w:afterLines="1" w:after="160"/>
      <w:jc w:val="both"/>
    </w:pPr>
    <w:rPr>
      <w:rFonts w:ascii="Times" w:eastAsiaTheme="minorHAnsi" w:hAnsi="Times" w:cstheme="minorBidi"/>
      <w:sz w:val="20"/>
      <w:szCs w:val="20"/>
      <w:lang w:val="es-ES_tradnl"/>
    </w:rPr>
  </w:style>
  <w:style w:type="paragraph" w:styleId="HTMLconformatoprevio">
    <w:name w:val="HTML Preformatted"/>
    <w:basedOn w:val="Normal"/>
    <w:link w:val="HTMLconformatoprevioCar"/>
    <w:uiPriority w:val="99"/>
    <w:semiHidden/>
    <w:unhideWhenUsed/>
    <w:rsid w:val="009543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pPr>
    <w:rPr>
      <w:rFonts w:ascii="Courier New" w:eastAsia="Times New Roman"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semiHidden/>
    <w:rsid w:val="009543F1"/>
    <w:rPr>
      <w:rFonts w:ascii="Courier New" w:eastAsia="Times New Roman" w:hAnsi="Courier New" w:cs="Courier New"/>
      <w:sz w:val="20"/>
      <w:szCs w:val="20"/>
      <w:lang w:val="es-CO" w:eastAsia="es-CO"/>
    </w:rPr>
  </w:style>
  <w:style w:type="paragraph" w:customStyle="1" w:styleId="Ttulo10">
    <w:name w:val="Título1"/>
    <w:basedOn w:val="Normal"/>
    <w:next w:val="Normal"/>
    <w:uiPriority w:val="10"/>
    <w:qFormat/>
    <w:rsid w:val="009543F1"/>
    <w:pPr>
      <w:widowControl/>
      <w:autoSpaceDE/>
      <w:autoSpaceDN/>
      <w:contextualSpacing/>
      <w:jc w:val="center"/>
    </w:pPr>
    <w:rPr>
      <w:rFonts w:ascii="Calibri" w:eastAsia="Times New Roman" w:hAnsi="Calibri" w:cs="Times New Roman"/>
      <w:b/>
      <w:bCs/>
      <w:spacing w:val="-7"/>
      <w:sz w:val="48"/>
      <w:szCs w:val="48"/>
      <w:lang w:val="es-ES_tradnl"/>
    </w:rPr>
  </w:style>
  <w:style w:type="paragraph" w:customStyle="1" w:styleId="Subttulo1">
    <w:name w:val="Subtítulo1"/>
    <w:basedOn w:val="Normal"/>
    <w:next w:val="Normal"/>
    <w:uiPriority w:val="11"/>
    <w:qFormat/>
    <w:rsid w:val="009543F1"/>
    <w:pPr>
      <w:widowControl/>
      <w:numPr>
        <w:ilvl w:val="1"/>
      </w:numPr>
      <w:autoSpaceDE/>
      <w:autoSpaceDN/>
      <w:spacing w:after="240" w:line="252" w:lineRule="auto"/>
      <w:jc w:val="center"/>
    </w:pPr>
    <w:rPr>
      <w:rFonts w:ascii="Calibri" w:eastAsia="Times New Roman" w:hAnsi="Calibri" w:cs="Times New Roman"/>
      <w:sz w:val="24"/>
      <w:szCs w:val="24"/>
      <w:lang w:val="es-ES_tradnl"/>
    </w:rPr>
  </w:style>
  <w:style w:type="character" w:styleId="Textoennegrita">
    <w:name w:val="Strong"/>
    <w:basedOn w:val="Fuentedeprrafopredeter"/>
    <w:uiPriority w:val="22"/>
    <w:qFormat/>
    <w:rsid w:val="009543F1"/>
    <w:rPr>
      <w:b/>
      <w:bCs/>
      <w:color w:val="auto"/>
    </w:rPr>
  </w:style>
  <w:style w:type="character" w:styleId="nfasis">
    <w:name w:val="Emphasis"/>
    <w:basedOn w:val="Fuentedeprrafopredeter"/>
    <w:uiPriority w:val="20"/>
    <w:qFormat/>
    <w:rsid w:val="009543F1"/>
    <w:rPr>
      <w:i/>
      <w:iCs/>
      <w:color w:val="auto"/>
    </w:rPr>
  </w:style>
  <w:style w:type="paragraph" w:customStyle="1" w:styleId="Cita1">
    <w:name w:val="Cita1"/>
    <w:basedOn w:val="Normal"/>
    <w:next w:val="Normal"/>
    <w:uiPriority w:val="29"/>
    <w:qFormat/>
    <w:rsid w:val="009543F1"/>
    <w:pPr>
      <w:widowControl/>
      <w:autoSpaceDE/>
      <w:autoSpaceDN/>
      <w:spacing w:before="200" w:after="160" w:line="264" w:lineRule="auto"/>
      <w:ind w:left="864" w:right="864"/>
      <w:jc w:val="center"/>
    </w:pPr>
    <w:rPr>
      <w:rFonts w:ascii="Calibri" w:eastAsia="Times New Roman" w:hAnsi="Calibri" w:cs="Times New Roman"/>
      <w:i/>
      <w:iCs/>
      <w:sz w:val="24"/>
      <w:szCs w:val="24"/>
      <w:lang w:val="es-ES_tradnl"/>
    </w:rPr>
  </w:style>
  <w:style w:type="character" w:customStyle="1" w:styleId="CitaCar">
    <w:name w:val="Cita Car"/>
    <w:basedOn w:val="Fuentedeprrafopredeter"/>
    <w:link w:val="Cita"/>
    <w:uiPriority w:val="29"/>
    <w:rsid w:val="009543F1"/>
    <w:rPr>
      <w:rFonts w:ascii="Calibri" w:eastAsia="Times New Roman" w:hAnsi="Calibri" w:cs="Times New Roman"/>
      <w:i/>
      <w:iCs/>
      <w:sz w:val="24"/>
      <w:szCs w:val="24"/>
    </w:rPr>
  </w:style>
  <w:style w:type="paragraph" w:customStyle="1" w:styleId="Citadestacada1">
    <w:name w:val="Cita destacada1"/>
    <w:basedOn w:val="Normal"/>
    <w:next w:val="Normal"/>
    <w:uiPriority w:val="30"/>
    <w:qFormat/>
    <w:rsid w:val="009543F1"/>
    <w:pPr>
      <w:widowControl/>
      <w:autoSpaceDE/>
      <w:autoSpaceDN/>
      <w:spacing w:before="100" w:beforeAutospacing="1" w:after="240" w:line="252" w:lineRule="auto"/>
      <w:ind w:left="936" w:right="936"/>
      <w:jc w:val="center"/>
    </w:pPr>
    <w:rPr>
      <w:rFonts w:ascii="Calibri" w:eastAsia="Times New Roman" w:hAnsi="Calibri" w:cs="Times New Roman"/>
      <w:sz w:val="26"/>
      <w:szCs w:val="26"/>
      <w:lang w:val="es-ES_tradnl"/>
    </w:rPr>
  </w:style>
  <w:style w:type="character" w:customStyle="1" w:styleId="CitadestacadaCar">
    <w:name w:val="Cita destacada Car"/>
    <w:basedOn w:val="Fuentedeprrafopredeter"/>
    <w:link w:val="Citadestacada"/>
    <w:uiPriority w:val="30"/>
    <w:rsid w:val="009543F1"/>
    <w:rPr>
      <w:rFonts w:ascii="Calibri" w:eastAsia="Times New Roman" w:hAnsi="Calibri" w:cs="Times New Roman"/>
      <w:sz w:val="26"/>
      <w:szCs w:val="26"/>
    </w:rPr>
  </w:style>
  <w:style w:type="character" w:styleId="nfasissutil">
    <w:name w:val="Subtle Emphasis"/>
    <w:basedOn w:val="Fuentedeprrafopredeter"/>
    <w:uiPriority w:val="19"/>
    <w:qFormat/>
    <w:rsid w:val="009543F1"/>
    <w:rPr>
      <w:i/>
      <w:iCs/>
      <w:color w:val="auto"/>
    </w:rPr>
  </w:style>
  <w:style w:type="character" w:styleId="nfasisintenso">
    <w:name w:val="Intense Emphasis"/>
    <w:basedOn w:val="Fuentedeprrafopredeter"/>
    <w:uiPriority w:val="21"/>
    <w:qFormat/>
    <w:rsid w:val="009543F1"/>
    <w:rPr>
      <w:b/>
      <w:bCs/>
      <w:i/>
      <w:iCs/>
      <w:color w:val="auto"/>
    </w:rPr>
  </w:style>
  <w:style w:type="character" w:customStyle="1" w:styleId="Referenciasutil1">
    <w:name w:val="Referencia sutil1"/>
    <w:basedOn w:val="Fuentedeprrafopredeter"/>
    <w:uiPriority w:val="31"/>
    <w:qFormat/>
    <w:rsid w:val="009543F1"/>
    <w:rPr>
      <w:smallCaps/>
      <w:color w:val="auto"/>
      <w:u w:val="single" w:color="7F7F7F"/>
    </w:rPr>
  </w:style>
  <w:style w:type="character" w:styleId="Referenciaintensa">
    <w:name w:val="Intense Reference"/>
    <w:basedOn w:val="Fuentedeprrafopredeter"/>
    <w:uiPriority w:val="32"/>
    <w:qFormat/>
    <w:rsid w:val="009543F1"/>
    <w:rPr>
      <w:b/>
      <w:bCs/>
      <w:smallCaps/>
      <w:color w:val="auto"/>
      <w:u w:val="single"/>
    </w:rPr>
  </w:style>
  <w:style w:type="character" w:styleId="Ttulodellibro">
    <w:name w:val="Book Title"/>
    <w:basedOn w:val="Fuentedeprrafopredeter"/>
    <w:uiPriority w:val="33"/>
    <w:qFormat/>
    <w:rsid w:val="009543F1"/>
    <w:rPr>
      <w:b/>
      <w:bCs/>
      <w:smallCaps/>
      <w:color w:val="auto"/>
    </w:rPr>
  </w:style>
  <w:style w:type="table" w:customStyle="1" w:styleId="Tablaconcuadrcula1">
    <w:name w:val="Tabla con cuadrícula1"/>
    <w:basedOn w:val="Tablanormal"/>
    <w:next w:val="Tablaconcuadrcula"/>
    <w:uiPriority w:val="59"/>
    <w:rsid w:val="009543F1"/>
    <w:pPr>
      <w:widowControl/>
      <w:autoSpaceDE/>
      <w:autoSpaceDN/>
      <w:jc w:val="both"/>
    </w:pPr>
    <w:rPr>
      <w:rFonts w:eastAsia="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
    <w:name w:val="Tabla con cuadrícula 1 clara-Énfasis 31"/>
    <w:basedOn w:val="Tablanormal"/>
    <w:next w:val="Tablaconcuadrcula1clara-nfasis3"/>
    <w:uiPriority w:val="46"/>
    <w:rsid w:val="009543F1"/>
    <w:pPr>
      <w:widowControl/>
      <w:autoSpaceDE/>
      <w:autoSpaceDN/>
      <w:jc w:val="both"/>
    </w:pPr>
    <w:rPr>
      <w:rFonts w:eastAsia="Times New Roman"/>
      <w:lang w:val="es-ES_tradn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character" w:customStyle="1" w:styleId="fontstyle01">
    <w:name w:val="fontstyle01"/>
    <w:basedOn w:val="Fuentedeprrafopredeter"/>
    <w:rsid w:val="009543F1"/>
    <w:rPr>
      <w:rFonts w:ascii="Century Gothic" w:hAnsi="Century Gothic" w:hint="default"/>
      <w:b w:val="0"/>
      <w:bCs w:val="0"/>
      <w:i w:val="0"/>
      <w:iCs w:val="0"/>
      <w:color w:val="000000"/>
      <w:sz w:val="20"/>
      <w:szCs w:val="20"/>
    </w:rPr>
  </w:style>
  <w:style w:type="character" w:customStyle="1" w:styleId="fontstyle21">
    <w:name w:val="fontstyle21"/>
    <w:basedOn w:val="Fuentedeprrafopredeter"/>
    <w:rsid w:val="009543F1"/>
    <w:rPr>
      <w:rFonts w:ascii="Helvetica" w:hAnsi="Helvetica" w:hint="default"/>
      <w:b w:val="0"/>
      <w:bCs w:val="0"/>
      <w:i w:val="0"/>
      <w:iCs w:val="0"/>
      <w:color w:val="000000"/>
      <w:sz w:val="24"/>
      <w:szCs w:val="24"/>
    </w:rPr>
  </w:style>
  <w:style w:type="character" w:customStyle="1" w:styleId="Mencinsinresolver1">
    <w:name w:val="Mención sin resolver1"/>
    <w:basedOn w:val="Fuentedeprrafopredeter"/>
    <w:uiPriority w:val="99"/>
    <w:semiHidden/>
    <w:unhideWhenUsed/>
    <w:rsid w:val="009543F1"/>
    <w:rPr>
      <w:color w:val="605E5C"/>
      <w:shd w:val="clear" w:color="auto" w:fill="E1DFDD"/>
    </w:rPr>
  </w:style>
  <w:style w:type="paragraph" w:styleId="Bibliografa">
    <w:name w:val="Bibliography"/>
    <w:basedOn w:val="Normal"/>
    <w:next w:val="Normal"/>
    <w:uiPriority w:val="37"/>
    <w:unhideWhenUsed/>
    <w:rsid w:val="009543F1"/>
    <w:pPr>
      <w:widowControl/>
      <w:autoSpaceDE/>
      <w:autoSpaceDN/>
      <w:spacing w:after="160" w:line="252" w:lineRule="auto"/>
      <w:jc w:val="both"/>
    </w:pPr>
    <w:rPr>
      <w:rFonts w:ascii="Cambria" w:eastAsia="Times New Roman" w:hAnsi="Cambria" w:cstheme="minorBidi"/>
      <w:lang w:val="es-ES_tradnl"/>
    </w:rPr>
  </w:style>
  <w:style w:type="character" w:customStyle="1" w:styleId="TtuloCar1">
    <w:name w:val="Título Car1"/>
    <w:basedOn w:val="Fuentedeprrafopredeter"/>
    <w:uiPriority w:val="10"/>
    <w:rsid w:val="009543F1"/>
    <w:rPr>
      <w:rFonts w:asciiTheme="majorHAnsi" w:eastAsiaTheme="majorEastAsia" w:hAnsiTheme="majorHAnsi" w:cstheme="majorBidi"/>
      <w:spacing w:val="-10"/>
      <w:kern w:val="28"/>
      <w:sz w:val="56"/>
      <w:szCs w:val="56"/>
    </w:rPr>
  </w:style>
  <w:style w:type="character" w:customStyle="1" w:styleId="SubttuloCar1">
    <w:name w:val="Subtítulo Car1"/>
    <w:basedOn w:val="Fuentedeprrafopredeter"/>
    <w:uiPriority w:val="11"/>
    <w:rsid w:val="009543F1"/>
    <w:rPr>
      <w:rFonts w:eastAsiaTheme="minorEastAsia"/>
      <w:color w:val="5A5A5A" w:themeColor="text1" w:themeTint="A5"/>
      <w:spacing w:val="15"/>
    </w:rPr>
  </w:style>
  <w:style w:type="paragraph" w:styleId="Cita">
    <w:name w:val="Quote"/>
    <w:basedOn w:val="Normal"/>
    <w:next w:val="Normal"/>
    <w:link w:val="CitaCar"/>
    <w:uiPriority w:val="29"/>
    <w:qFormat/>
    <w:rsid w:val="009543F1"/>
    <w:pPr>
      <w:widowControl/>
      <w:autoSpaceDE/>
      <w:autoSpaceDN/>
      <w:spacing w:before="200" w:after="160"/>
      <w:ind w:left="864" w:right="864"/>
      <w:jc w:val="center"/>
    </w:pPr>
    <w:rPr>
      <w:rFonts w:ascii="Calibri" w:eastAsia="Times New Roman" w:hAnsi="Calibri" w:cs="Times New Roman"/>
      <w:i/>
      <w:iCs/>
      <w:sz w:val="24"/>
      <w:szCs w:val="24"/>
      <w:lang w:val="en-US"/>
    </w:rPr>
  </w:style>
  <w:style w:type="character" w:customStyle="1" w:styleId="CitaCar1">
    <w:name w:val="Cita Car1"/>
    <w:basedOn w:val="Fuentedeprrafopredeter"/>
    <w:uiPriority w:val="29"/>
    <w:rsid w:val="009543F1"/>
    <w:rPr>
      <w:rFonts w:ascii="Arial" w:eastAsia="Arial" w:hAnsi="Arial" w:cs="Arial"/>
      <w:i/>
      <w:iCs/>
      <w:color w:val="404040" w:themeColor="text1" w:themeTint="BF"/>
      <w:lang w:val="es-ES"/>
    </w:rPr>
  </w:style>
  <w:style w:type="paragraph" w:styleId="Citadestacada">
    <w:name w:val="Intense Quote"/>
    <w:basedOn w:val="Normal"/>
    <w:next w:val="Normal"/>
    <w:link w:val="CitadestacadaCar"/>
    <w:uiPriority w:val="30"/>
    <w:qFormat/>
    <w:rsid w:val="009543F1"/>
    <w:pPr>
      <w:widowControl/>
      <w:pBdr>
        <w:top w:val="single" w:sz="4" w:space="10" w:color="4F81BD" w:themeColor="accent1"/>
        <w:bottom w:val="single" w:sz="4" w:space="10" w:color="4F81BD" w:themeColor="accent1"/>
      </w:pBdr>
      <w:autoSpaceDE/>
      <w:autoSpaceDN/>
      <w:spacing w:before="360" w:after="360"/>
      <w:ind w:left="864" w:right="864"/>
      <w:jc w:val="center"/>
    </w:pPr>
    <w:rPr>
      <w:rFonts w:ascii="Calibri" w:eastAsia="Times New Roman" w:hAnsi="Calibri" w:cs="Times New Roman"/>
      <w:sz w:val="26"/>
      <w:szCs w:val="26"/>
      <w:lang w:val="en-US"/>
    </w:rPr>
  </w:style>
  <w:style w:type="character" w:customStyle="1" w:styleId="CitadestacadaCar1">
    <w:name w:val="Cita destacada Car1"/>
    <w:basedOn w:val="Fuentedeprrafopredeter"/>
    <w:uiPriority w:val="30"/>
    <w:rsid w:val="009543F1"/>
    <w:rPr>
      <w:rFonts w:ascii="Arial" w:eastAsia="Arial" w:hAnsi="Arial" w:cs="Arial"/>
      <w:i/>
      <w:iCs/>
      <w:color w:val="4F81BD" w:themeColor="accent1"/>
      <w:lang w:val="es-ES"/>
    </w:rPr>
  </w:style>
  <w:style w:type="character" w:styleId="Referenciasutil">
    <w:name w:val="Subtle Reference"/>
    <w:basedOn w:val="Fuentedeprrafopredeter"/>
    <w:uiPriority w:val="31"/>
    <w:qFormat/>
    <w:rsid w:val="009543F1"/>
    <w:rPr>
      <w:smallCaps/>
      <w:color w:val="5A5A5A" w:themeColor="text1" w:themeTint="A5"/>
    </w:rPr>
  </w:style>
  <w:style w:type="table" w:styleId="Tablaconcuadrcula1clara-nfasis3">
    <w:name w:val="Grid Table 1 Light Accent 3"/>
    <w:basedOn w:val="Tablanormal"/>
    <w:uiPriority w:val="46"/>
    <w:rsid w:val="009543F1"/>
    <w:pPr>
      <w:widowControl/>
      <w:autoSpaceDE/>
      <w:autoSpaceDN/>
    </w:pPr>
    <w:rPr>
      <w:lang w:val="es-CO"/>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m3974751336625158442gmail-msolistparagraph">
    <w:name w:val="m_3974751336625158442gmail-msolistparagraph"/>
    <w:basedOn w:val="Normal"/>
    <w:rsid w:val="009543F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5875400716697027234gmail-msolistparagraph">
    <w:name w:val="m_-5875400716697027234gmail-msolistparagraph"/>
    <w:basedOn w:val="Normal"/>
    <w:rsid w:val="009543F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9543F1"/>
    <w:rPr>
      <w:color w:val="954F72"/>
      <w:u w:val="single"/>
    </w:rPr>
  </w:style>
  <w:style w:type="paragraph" w:customStyle="1" w:styleId="font0">
    <w:name w:val="font0"/>
    <w:basedOn w:val="Normal"/>
    <w:rsid w:val="009543F1"/>
    <w:pPr>
      <w:widowControl/>
      <w:autoSpaceDE/>
      <w:autoSpaceDN/>
      <w:spacing w:before="100" w:beforeAutospacing="1" w:after="100" w:afterAutospacing="1"/>
    </w:pPr>
    <w:rPr>
      <w:rFonts w:ascii="Calibri" w:eastAsia="Times New Roman" w:hAnsi="Calibri" w:cs="Calibri"/>
      <w:color w:val="000000"/>
      <w:lang w:val="es-CO" w:eastAsia="es-CO"/>
    </w:rPr>
  </w:style>
  <w:style w:type="paragraph" w:customStyle="1" w:styleId="font5">
    <w:name w:val="font5"/>
    <w:basedOn w:val="Normal"/>
    <w:rsid w:val="009543F1"/>
    <w:pPr>
      <w:widowControl/>
      <w:autoSpaceDE/>
      <w:autoSpaceDN/>
      <w:spacing w:before="100" w:beforeAutospacing="1" w:after="100" w:afterAutospacing="1"/>
    </w:pPr>
    <w:rPr>
      <w:rFonts w:ascii="Arial Narrow" w:eastAsia="Times New Roman" w:hAnsi="Arial Narrow" w:cs="Times New Roman"/>
      <w:color w:val="000000"/>
      <w:sz w:val="20"/>
      <w:szCs w:val="20"/>
      <w:lang w:val="es-CO" w:eastAsia="es-CO"/>
    </w:rPr>
  </w:style>
  <w:style w:type="paragraph" w:customStyle="1" w:styleId="xl63">
    <w:name w:val="xl63"/>
    <w:basedOn w:val="Normal"/>
    <w:rsid w:val="009543F1"/>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rFonts w:ascii="Arial Narrow" w:eastAsia="Times New Roman" w:hAnsi="Arial Narrow" w:cs="Times New Roman"/>
      <w:color w:val="000000"/>
      <w:sz w:val="20"/>
      <w:szCs w:val="20"/>
      <w:lang w:val="es-CO" w:eastAsia="es-CO"/>
    </w:rPr>
  </w:style>
  <w:style w:type="paragraph" w:customStyle="1" w:styleId="xl64">
    <w:name w:val="xl64"/>
    <w:basedOn w:val="Normal"/>
    <w:rsid w:val="009543F1"/>
    <w:pPr>
      <w:widowControl/>
      <w:pBdr>
        <w:bottom w:val="single" w:sz="8" w:space="0" w:color="auto"/>
        <w:right w:val="single" w:sz="8" w:space="0" w:color="auto"/>
      </w:pBdr>
      <w:autoSpaceDE/>
      <w:autoSpaceDN/>
      <w:spacing w:before="100" w:beforeAutospacing="1" w:after="100" w:afterAutospacing="1"/>
      <w:jc w:val="center"/>
      <w:textAlignment w:val="center"/>
    </w:pPr>
    <w:rPr>
      <w:rFonts w:ascii="Arial Narrow" w:eastAsia="Times New Roman" w:hAnsi="Arial Narrow" w:cs="Times New Roman"/>
      <w:color w:val="000000"/>
      <w:sz w:val="20"/>
      <w:szCs w:val="20"/>
      <w:lang w:val="es-CO" w:eastAsia="es-CO"/>
    </w:rPr>
  </w:style>
  <w:style w:type="paragraph" w:customStyle="1" w:styleId="xl65">
    <w:name w:val="xl65"/>
    <w:basedOn w:val="Normal"/>
    <w:rsid w:val="009543F1"/>
    <w:pPr>
      <w:widowControl/>
      <w:pBdr>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val="es-CO" w:eastAsia="es-CO"/>
    </w:rPr>
  </w:style>
  <w:style w:type="paragraph" w:customStyle="1" w:styleId="xl66">
    <w:name w:val="xl66"/>
    <w:basedOn w:val="Normal"/>
    <w:rsid w:val="009543F1"/>
    <w:pPr>
      <w:widowControl/>
      <w:pBdr>
        <w:bottom w:val="single" w:sz="8" w:space="0" w:color="auto"/>
        <w:right w:val="single" w:sz="8" w:space="0" w:color="auto"/>
      </w:pBdr>
      <w:autoSpaceDE/>
      <w:autoSpaceDN/>
      <w:spacing w:before="100" w:beforeAutospacing="1" w:after="100" w:afterAutospacing="1"/>
      <w:textAlignment w:val="center"/>
    </w:pPr>
    <w:rPr>
      <w:rFonts w:ascii="Arial Narrow" w:eastAsia="Times New Roman" w:hAnsi="Arial Narrow" w:cs="Times New Roman"/>
      <w:color w:val="000000"/>
      <w:sz w:val="20"/>
      <w:szCs w:val="20"/>
      <w:lang w:val="es-CO" w:eastAsia="es-CO"/>
    </w:rPr>
  </w:style>
  <w:style w:type="paragraph" w:customStyle="1" w:styleId="xl67">
    <w:name w:val="xl67"/>
    <w:basedOn w:val="Normal"/>
    <w:rsid w:val="009543F1"/>
    <w:pPr>
      <w:widowControl/>
      <w:pBdr>
        <w:bottom w:val="single" w:sz="8" w:space="0" w:color="auto"/>
        <w:right w:val="single" w:sz="8" w:space="0" w:color="auto"/>
      </w:pBdr>
      <w:shd w:val="clear" w:color="000000" w:fill="008000"/>
      <w:autoSpaceDE/>
      <w:autoSpaceDN/>
      <w:spacing w:before="100" w:beforeAutospacing="1" w:after="100" w:afterAutospacing="1"/>
      <w:jc w:val="center"/>
      <w:textAlignment w:val="center"/>
    </w:pPr>
    <w:rPr>
      <w:rFonts w:ascii="Arial Narrow" w:eastAsia="Times New Roman" w:hAnsi="Arial Narrow" w:cs="Times New Roman"/>
      <w:color w:val="FFFFFF"/>
      <w:sz w:val="20"/>
      <w:szCs w:val="20"/>
      <w:lang w:val="es-CO" w:eastAsia="es-CO"/>
    </w:rPr>
  </w:style>
  <w:style w:type="paragraph" w:customStyle="1" w:styleId="xl68">
    <w:name w:val="xl68"/>
    <w:basedOn w:val="Normal"/>
    <w:rsid w:val="009543F1"/>
    <w:pPr>
      <w:widowControl/>
      <w:pBdr>
        <w:left w:val="single" w:sz="8" w:space="0" w:color="auto"/>
        <w:right w:val="single" w:sz="8" w:space="0" w:color="auto"/>
      </w:pBdr>
      <w:autoSpaceDE/>
      <w:autoSpaceDN/>
      <w:spacing w:before="100" w:beforeAutospacing="1" w:after="100" w:afterAutospacing="1"/>
      <w:textAlignment w:val="center"/>
    </w:pPr>
    <w:rPr>
      <w:rFonts w:ascii="Arial Narrow" w:eastAsia="Times New Roman" w:hAnsi="Arial Narrow" w:cs="Times New Roman"/>
      <w:color w:val="000000"/>
      <w:sz w:val="20"/>
      <w:szCs w:val="20"/>
      <w:lang w:val="es-CO" w:eastAsia="es-CO"/>
    </w:rPr>
  </w:style>
  <w:style w:type="paragraph" w:customStyle="1" w:styleId="xl69">
    <w:name w:val="xl69"/>
    <w:basedOn w:val="Normal"/>
    <w:rsid w:val="009543F1"/>
    <w:pPr>
      <w:widowControl/>
      <w:pBdr>
        <w:right w:val="single" w:sz="8" w:space="0" w:color="auto"/>
      </w:pBdr>
      <w:autoSpaceDE/>
      <w:autoSpaceDN/>
      <w:spacing w:before="100" w:beforeAutospacing="1" w:after="100" w:afterAutospacing="1"/>
      <w:jc w:val="center"/>
      <w:textAlignment w:val="center"/>
    </w:pPr>
    <w:rPr>
      <w:rFonts w:ascii="Arial Narrow" w:eastAsia="Times New Roman" w:hAnsi="Arial Narrow" w:cs="Times New Roman"/>
      <w:color w:val="000000"/>
      <w:sz w:val="20"/>
      <w:szCs w:val="20"/>
      <w:lang w:val="es-CO" w:eastAsia="es-CO"/>
    </w:rPr>
  </w:style>
  <w:style w:type="paragraph" w:customStyle="1" w:styleId="xl70">
    <w:name w:val="xl70"/>
    <w:basedOn w:val="Normal"/>
    <w:rsid w:val="009543F1"/>
    <w:pPr>
      <w:widowControl/>
      <w:pBdr>
        <w:right w:val="single" w:sz="8" w:space="0" w:color="auto"/>
      </w:pBdr>
      <w:autoSpaceDE/>
      <w:autoSpaceDN/>
      <w:spacing w:before="100" w:beforeAutospacing="1" w:after="100" w:afterAutospacing="1"/>
      <w:textAlignment w:val="center"/>
    </w:pPr>
    <w:rPr>
      <w:rFonts w:ascii="Arial Narrow" w:eastAsia="Times New Roman" w:hAnsi="Arial Narrow" w:cs="Times New Roman"/>
      <w:color w:val="000000"/>
      <w:sz w:val="20"/>
      <w:szCs w:val="20"/>
      <w:lang w:val="es-CO" w:eastAsia="es-CO"/>
    </w:rPr>
  </w:style>
  <w:style w:type="paragraph" w:customStyle="1" w:styleId="xl71">
    <w:name w:val="xl71"/>
    <w:basedOn w:val="Normal"/>
    <w:rsid w:val="009543F1"/>
    <w:pPr>
      <w:widowControl/>
      <w:pBdr>
        <w:right w:val="single" w:sz="8" w:space="0" w:color="auto"/>
      </w:pBdr>
      <w:shd w:val="clear" w:color="000000" w:fill="008000"/>
      <w:autoSpaceDE/>
      <w:autoSpaceDN/>
      <w:spacing w:before="100" w:beforeAutospacing="1" w:after="100" w:afterAutospacing="1"/>
      <w:jc w:val="center"/>
      <w:textAlignment w:val="center"/>
    </w:pPr>
    <w:rPr>
      <w:rFonts w:ascii="Arial Narrow" w:eastAsia="Times New Roman" w:hAnsi="Arial Narrow" w:cs="Times New Roman"/>
      <w:color w:val="FFFFFF"/>
      <w:sz w:val="20"/>
      <w:szCs w:val="20"/>
      <w:lang w:val="es-CO" w:eastAsia="es-CO"/>
    </w:rPr>
  </w:style>
  <w:style w:type="paragraph" w:customStyle="1" w:styleId="xl72">
    <w:name w:val="xl72"/>
    <w:basedOn w:val="Normal"/>
    <w:rsid w:val="009543F1"/>
    <w:pPr>
      <w:widowControl/>
      <w:pBdr>
        <w:right w:val="single" w:sz="8" w:space="0" w:color="000000"/>
      </w:pBdr>
      <w:autoSpaceDE/>
      <w:autoSpaceDN/>
      <w:spacing w:before="100" w:beforeAutospacing="1" w:after="100" w:afterAutospacing="1"/>
      <w:textAlignment w:val="center"/>
    </w:pPr>
    <w:rPr>
      <w:rFonts w:ascii="Arial Narrow" w:eastAsia="Times New Roman" w:hAnsi="Arial Narrow" w:cs="Times New Roman"/>
      <w:color w:val="000000"/>
      <w:sz w:val="20"/>
      <w:szCs w:val="20"/>
      <w:lang w:val="es-CO" w:eastAsia="es-CO"/>
    </w:rPr>
  </w:style>
  <w:style w:type="paragraph" w:customStyle="1" w:styleId="xl73">
    <w:name w:val="xl73"/>
    <w:basedOn w:val="Normal"/>
    <w:rsid w:val="009543F1"/>
    <w:pPr>
      <w:widowControl/>
      <w:pBdr>
        <w:bottom w:val="single" w:sz="8" w:space="0" w:color="auto"/>
        <w:right w:val="single" w:sz="8" w:space="0" w:color="auto"/>
      </w:pBdr>
      <w:autoSpaceDE/>
      <w:autoSpaceDN/>
      <w:spacing w:before="100" w:beforeAutospacing="1" w:after="100" w:afterAutospacing="1"/>
      <w:textAlignment w:val="center"/>
    </w:pPr>
    <w:rPr>
      <w:rFonts w:ascii="Arial Narrow" w:eastAsia="Times New Roman" w:hAnsi="Arial Narrow" w:cs="Times New Roman"/>
      <w:color w:val="000000"/>
      <w:sz w:val="20"/>
      <w:szCs w:val="20"/>
      <w:lang w:val="es-CO" w:eastAsia="es-CO"/>
    </w:rPr>
  </w:style>
  <w:style w:type="paragraph" w:customStyle="1" w:styleId="xl74">
    <w:name w:val="xl74"/>
    <w:basedOn w:val="Normal"/>
    <w:rsid w:val="009543F1"/>
    <w:pPr>
      <w:widowControl/>
      <w:pBdr>
        <w:bottom w:val="single" w:sz="8" w:space="0" w:color="auto"/>
      </w:pBdr>
      <w:autoSpaceDE/>
      <w:autoSpaceDN/>
      <w:spacing w:before="100" w:beforeAutospacing="1" w:after="100" w:afterAutospacing="1"/>
      <w:jc w:val="both"/>
      <w:textAlignment w:val="center"/>
    </w:pPr>
    <w:rPr>
      <w:rFonts w:ascii="Arial Narrow" w:eastAsia="Times New Roman" w:hAnsi="Arial Narrow" w:cs="Times New Roman"/>
      <w:color w:val="000000"/>
      <w:sz w:val="20"/>
      <w:szCs w:val="20"/>
      <w:lang w:val="es-CO" w:eastAsia="es-CO"/>
    </w:rPr>
  </w:style>
  <w:style w:type="paragraph" w:customStyle="1" w:styleId="xl75">
    <w:name w:val="xl75"/>
    <w:basedOn w:val="Normal"/>
    <w:rsid w:val="009543F1"/>
    <w:pPr>
      <w:widowControl/>
      <w:pBdr>
        <w:top w:val="single" w:sz="8" w:space="0" w:color="auto"/>
        <w:left w:val="single" w:sz="8" w:space="0" w:color="auto"/>
        <w:bottom w:val="single" w:sz="8" w:space="0" w:color="auto"/>
      </w:pBdr>
      <w:autoSpaceDE/>
      <w:autoSpaceDN/>
      <w:spacing w:before="100" w:beforeAutospacing="1" w:after="100" w:afterAutospacing="1"/>
      <w:jc w:val="both"/>
      <w:textAlignment w:val="center"/>
    </w:pPr>
    <w:rPr>
      <w:rFonts w:ascii="Arial Narrow" w:eastAsia="Times New Roman" w:hAnsi="Arial Narrow" w:cs="Times New Roman"/>
      <w:color w:val="000000"/>
      <w:sz w:val="20"/>
      <w:szCs w:val="20"/>
      <w:lang w:val="es-CO" w:eastAsia="es-CO"/>
    </w:rPr>
  </w:style>
  <w:style w:type="paragraph" w:customStyle="1" w:styleId="xl76">
    <w:name w:val="xl76"/>
    <w:basedOn w:val="Normal"/>
    <w:rsid w:val="009543F1"/>
    <w:pPr>
      <w:widowControl/>
      <w:pBdr>
        <w:top w:val="single" w:sz="8" w:space="0" w:color="auto"/>
        <w:bottom w:val="single" w:sz="8" w:space="0" w:color="auto"/>
      </w:pBdr>
      <w:autoSpaceDE/>
      <w:autoSpaceDN/>
      <w:spacing w:before="100" w:beforeAutospacing="1" w:after="100" w:afterAutospacing="1"/>
      <w:jc w:val="both"/>
      <w:textAlignment w:val="center"/>
    </w:pPr>
    <w:rPr>
      <w:rFonts w:ascii="Arial Narrow" w:eastAsia="Times New Roman" w:hAnsi="Arial Narrow" w:cs="Times New Roman"/>
      <w:color w:val="000000"/>
      <w:sz w:val="20"/>
      <w:szCs w:val="20"/>
      <w:lang w:val="es-CO" w:eastAsia="es-CO"/>
    </w:rPr>
  </w:style>
  <w:style w:type="paragraph" w:customStyle="1" w:styleId="xl77">
    <w:name w:val="xl77"/>
    <w:basedOn w:val="Normal"/>
    <w:rsid w:val="009543F1"/>
    <w:pPr>
      <w:widowControl/>
      <w:pBdr>
        <w:top w:val="single" w:sz="8" w:space="0" w:color="auto"/>
        <w:bottom w:val="single" w:sz="8" w:space="0" w:color="auto"/>
        <w:right w:val="single" w:sz="8" w:space="0" w:color="auto"/>
      </w:pBdr>
      <w:autoSpaceDE/>
      <w:autoSpaceDN/>
      <w:spacing w:before="100" w:beforeAutospacing="1" w:after="100" w:afterAutospacing="1"/>
      <w:jc w:val="both"/>
      <w:textAlignment w:val="center"/>
    </w:pPr>
    <w:rPr>
      <w:rFonts w:ascii="Arial Narrow" w:eastAsia="Times New Roman" w:hAnsi="Arial Narrow" w:cs="Times New Roman"/>
      <w:color w:val="000000"/>
      <w:sz w:val="20"/>
      <w:szCs w:val="20"/>
      <w:lang w:val="es-CO" w:eastAsia="es-CO"/>
    </w:rPr>
  </w:style>
  <w:style w:type="paragraph" w:customStyle="1" w:styleId="xl78">
    <w:name w:val="xl78"/>
    <w:basedOn w:val="Normal"/>
    <w:rsid w:val="009543F1"/>
    <w:pPr>
      <w:widowControl/>
      <w:pBdr>
        <w:bottom w:val="single" w:sz="8" w:space="0" w:color="auto"/>
      </w:pBdr>
      <w:autoSpaceDE/>
      <w:autoSpaceDN/>
      <w:spacing w:before="100" w:beforeAutospacing="1" w:after="100" w:afterAutospacing="1"/>
      <w:jc w:val="center"/>
      <w:textAlignment w:val="center"/>
    </w:pPr>
    <w:rPr>
      <w:rFonts w:ascii="Arial Narrow" w:eastAsia="Times New Roman" w:hAnsi="Arial Narrow" w:cs="Times New Roman"/>
      <w:color w:val="000000"/>
      <w:sz w:val="20"/>
      <w:szCs w:val="20"/>
      <w:lang w:val="es-CO" w:eastAsia="es-CO"/>
    </w:rPr>
  </w:style>
  <w:style w:type="paragraph" w:customStyle="1" w:styleId="xl79">
    <w:name w:val="xl79"/>
    <w:basedOn w:val="Normal"/>
    <w:rsid w:val="009543F1"/>
    <w:pPr>
      <w:widowControl/>
      <w:pBdr>
        <w:top w:val="single" w:sz="8" w:space="0" w:color="auto"/>
        <w:left w:val="single" w:sz="8" w:space="0" w:color="000000"/>
        <w:bottom w:val="single" w:sz="8" w:space="0" w:color="auto"/>
      </w:pBdr>
      <w:autoSpaceDE/>
      <w:autoSpaceDN/>
      <w:spacing w:before="100" w:beforeAutospacing="1" w:after="100" w:afterAutospacing="1"/>
      <w:jc w:val="both"/>
      <w:textAlignment w:val="center"/>
    </w:pPr>
    <w:rPr>
      <w:rFonts w:ascii="Arial Narrow" w:eastAsia="Times New Roman" w:hAnsi="Arial Narrow" w:cs="Times New Roman"/>
      <w:color w:val="000000"/>
      <w:sz w:val="20"/>
      <w:szCs w:val="20"/>
      <w:lang w:val="es-CO" w:eastAsia="es-CO"/>
    </w:rPr>
  </w:style>
  <w:style w:type="paragraph" w:customStyle="1" w:styleId="xl80">
    <w:name w:val="xl80"/>
    <w:basedOn w:val="Normal"/>
    <w:rsid w:val="009543F1"/>
    <w:pPr>
      <w:widowControl/>
      <w:pBdr>
        <w:top w:val="single" w:sz="8" w:space="0" w:color="auto"/>
        <w:bottom w:val="single" w:sz="8" w:space="0" w:color="auto"/>
        <w:right w:val="single" w:sz="8" w:space="0" w:color="000000"/>
      </w:pBdr>
      <w:autoSpaceDE/>
      <w:autoSpaceDN/>
      <w:spacing w:before="100" w:beforeAutospacing="1" w:after="100" w:afterAutospacing="1"/>
      <w:jc w:val="both"/>
      <w:textAlignment w:val="center"/>
    </w:pPr>
    <w:rPr>
      <w:rFonts w:ascii="Arial Narrow" w:eastAsia="Times New Roman" w:hAnsi="Arial Narrow" w:cs="Times New Roman"/>
      <w:color w:val="000000"/>
      <w:sz w:val="20"/>
      <w:szCs w:val="20"/>
      <w:lang w:val="es-CO" w:eastAsia="es-CO"/>
    </w:rPr>
  </w:style>
  <w:style w:type="paragraph" w:customStyle="1" w:styleId="xl81">
    <w:name w:val="xl81"/>
    <w:basedOn w:val="Normal"/>
    <w:rsid w:val="009543F1"/>
    <w:pPr>
      <w:widowControl/>
      <w:pBdr>
        <w:top w:val="single" w:sz="8" w:space="0" w:color="auto"/>
        <w:left w:val="single" w:sz="8" w:space="0" w:color="auto"/>
      </w:pBdr>
      <w:autoSpaceDE/>
      <w:autoSpaceDN/>
      <w:spacing w:before="100" w:beforeAutospacing="1" w:after="100" w:afterAutospacing="1"/>
      <w:jc w:val="both"/>
      <w:textAlignment w:val="center"/>
    </w:pPr>
    <w:rPr>
      <w:rFonts w:ascii="Arial Narrow" w:eastAsia="Times New Roman" w:hAnsi="Arial Narrow" w:cs="Times New Roman"/>
      <w:color w:val="000000"/>
      <w:sz w:val="20"/>
      <w:szCs w:val="20"/>
      <w:lang w:val="es-CO" w:eastAsia="es-CO"/>
    </w:rPr>
  </w:style>
  <w:style w:type="paragraph" w:customStyle="1" w:styleId="xl82">
    <w:name w:val="xl82"/>
    <w:basedOn w:val="Normal"/>
    <w:rsid w:val="009543F1"/>
    <w:pPr>
      <w:widowControl/>
      <w:pBdr>
        <w:top w:val="single" w:sz="8" w:space="0" w:color="auto"/>
      </w:pBdr>
      <w:autoSpaceDE/>
      <w:autoSpaceDN/>
      <w:spacing w:before="100" w:beforeAutospacing="1" w:after="100" w:afterAutospacing="1"/>
      <w:jc w:val="both"/>
      <w:textAlignment w:val="center"/>
    </w:pPr>
    <w:rPr>
      <w:rFonts w:ascii="Arial Narrow" w:eastAsia="Times New Roman" w:hAnsi="Arial Narrow" w:cs="Times New Roman"/>
      <w:color w:val="000000"/>
      <w:sz w:val="20"/>
      <w:szCs w:val="20"/>
      <w:lang w:val="es-CO" w:eastAsia="es-CO"/>
    </w:rPr>
  </w:style>
  <w:style w:type="paragraph" w:customStyle="1" w:styleId="xl83">
    <w:name w:val="xl83"/>
    <w:basedOn w:val="Normal"/>
    <w:rsid w:val="009543F1"/>
    <w:pPr>
      <w:widowControl/>
      <w:pBdr>
        <w:top w:val="single" w:sz="8" w:space="0" w:color="auto"/>
        <w:right w:val="single" w:sz="8" w:space="0" w:color="000000"/>
      </w:pBdr>
      <w:autoSpaceDE/>
      <w:autoSpaceDN/>
      <w:spacing w:before="100" w:beforeAutospacing="1" w:after="100" w:afterAutospacing="1"/>
      <w:jc w:val="both"/>
      <w:textAlignment w:val="center"/>
    </w:pPr>
    <w:rPr>
      <w:rFonts w:ascii="Arial Narrow" w:eastAsia="Times New Roman" w:hAnsi="Arial Narrow" w:cs="Times New Roman"/>
      <w:color w:val="000000"/>
      <w:sz w:val="20"/>
      <w:szCs w:val="20"/>
      <w:lang w:val="es-CO" w:eastAsia="es-CO"/>
    </w:rPr>
  </w:style>
  <w:style w:type="paragraph" w:customStyle="1" w:styleId="xl84">
    <w:name w:val="xl84"/>
    <w:basedOn w:val="Normal"/>
    <w:rsid w:val="009543F1"/>
    <w:pPr>
      <w:widowControl/>
      <w:pBdr>
        <w:bottom w:val="single" w:sz="8" w:space="0" w:color="auto"/>
      </w:pBdr>
      <w:autoSpaceDE/>
      <w:autoSpaceDN/>
      <w:spacing w:before="100" w:beforeAutospacing="1" w:after="100" w:afterAutospacing="1"/>
      <w:jc w:val="both"/>
      <w:textAlignment w:val="center"/>
    </w:pPr>
    <w:rPr>
      <w:rFonts w:ascii="Arial Narrow" w:eastAsia="Times New Roman" w:hAnsi="Arial Narrow" w:cs="Times New Roman"/>
      <w:sz w:val="20"/>
      <w:szCs w:val="20"/>
      <w:lang w:val="es-CO" w:eastAsia="es-CO"/>
    </w:rPr>
  </w:style>
  <w:style w:type="paragraph" w:customStyle="1" w:styleId="xl85">
    <w:name w:val="xl85"/>
    <w:basedOn w:val="Normal"/>
    <w:rsid w:val="009543F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86">
    <w:name w:val="xl86"/>
    <w:basedOn w:val="Normal"/>
    <w:rsid w:val="009543F1"/>
    <w:pPr>
      <w:widowControl/>
      <w:pBdr>
        <w:bottom w:val="single" w:sz="8" w:space="0" w:color="auto"/>
        <w:right w:val="single" w:sz="8" w:space="0" w:color="auto"/>
      </w:pBdr>
      <w:autoSpaceDE/>
      <w:autoSpaceDN/>
      <w:spacing w:before="100" w:beforeAutospacing="1" w:after="100" w:afterAutospacing="1"/>
      <w:textAlignment w:val="center"/>
    </w:pPr>
    <w:rPr>
      <w:rFonts w:ascii="Arial Narrow" w:eastAsia="Times New Roman" w:hAnsi="Arial Narrow" w:cs="Times New Roman"/>
      <w:color w:val="000000"/>
      <w:sz w:val="20"/>
      <w:szCs w:val="20"/>
      <w:lang w:val="es-CO" w:eastAsia="es-CO"/>
    </w:rPr>
  </w:style>
  <w:style w:type="paragraph" w:customStyle="1" w:styleId="xl87">
    <w:name w:val="xl87"/>
    <w:basedOn w:val="Normal"/>
    <w:rsid w:val="009543F1"/>
    <w:pPr>
      <w:widowControl/>
      <w:pBdr>
        <w:right w:val="single" w:sz="8" w:space="0" w:color="auto"/>
      </w:pBdr>
      <w:autoSpaceDE/>
      <w:autoSpaceDN/>
      <w:spacing w:before="100" w:beforeAutospacing="1" w:after="100" w:afterAutospacing="1"/>
      <w:textAlignment w:val="center"/>
    </w:pPr>
    <w:rPr>
      <w:rFonts w:ascii="Arial Narrow" w:eastAsia="Times New Roman" w:hAnsi="Arial Narrow" w:cs="Times New Roman"/>
      <w:color w:val="000000"/>
      <w:sz w:val="20"/>
      <w:szCs w:val="20"/>
      <w:lang w:val="es-CO" w:eastAsia="es-CO"/>
    </w:rPr>
  </w:style>
  <w:style w:type="paragraph" w:customStyle="1" w:styleId="xl88">
    <w:name w:val="xl88"/>
    <w:basedOn w:val="Normal"/>
    <w:rsid w:val="009543F1"/>
    <w:pPr>
      <w:widowControl/>
      <w:pBdr>
        <w:left w:val="single" w:sz="8" w:space="0" w:color="auto"/>
        <w:bottom w:val="single" w:sz="8" w:space="0" w:color="auto"/>
      </w:pBdr>
      <w:autoSpaceDE/>
      <w:autoSpaceDN/>
      <w:spacing w:before="100" w:beforeAutospacing="1" w:after="100" w:afterAutospacing="1"/>
      <w:jc w:val="both"/>
      <w:textAlignment w:val="center"/>
    </w:pPr>
    <w:rPr>
      <w:rFonts w:ascii="Arial Narrow" w:eastAsia="Times New Roman" w:hAnsi="Arial Narrow" w:cs="Times New Roman"/>
      <w:color w:val="000000"/>
      <w:sz w:val="20"/>
      <w:szCs w:val="20"/>
      <w:lang w:val="es-CO" w:eastAsia="es-CO"/>
    </w:rPr>
  </w:style>
  <w:style w:type="paragraph" w:customStyle="1" w:styleId="xl89">
    <w:name w:val="xl89"/>
    <w:basedOn w:val="Normal"/>
    <w:rsid w:val="009543F1"/>
    <w:pPr>
      <w:widowControl/>
      <w:pBdr>
        <w:bottom w:val="single" w:sz="8" w:space="0" w:color="auto"/>
        <w:right w:val="single" w:sz="8" w:space="0" w:color="auto"/>
      </w:pBdr>
      <w:autoSpaceDE/>
      <w:autoSpaceDN/>
      <w:spacing w:before="100" w:beforeAutospacing="1" w:after="100" w:afterAutospacing="1"/>
      <w:jc w:val="both"/>
      <w:textAlignment w:val="center"/>
    </w:pPr>
    <w:rPr>
      <w:rFonts w:ascii="Arial Narrow" w:eastAsia="Times New Roman" w:hAnsi="Arial Narrow" w:cs="Times New Roman"/>
      <w:color w:val="000000"/>
      <w:sz w:val="20"/>
      <w:szCs w:val="20"/>
      <w:lang w:val="es-CO" w:eastAsia="es-CO"/>
    </w:rPr>
  </w:style>
  <w:style w:type="paragraph" w:customStyle="1" w:styleId="xl90">
    <w:name w:val="xl90"/>
    <w:basedOn w:val="Normal"/>
    <w:rsid w:val="009543F1"/>
    <w:pPr>
      <w:widowControl/>
      <w:pBdr>
        <w:bottom w:val="single" w:sz="8" w:space="0" w:color="auto"/>
        <w:right w:val="single" w:sz="8" w:space="0" w:color="000000"/>
      </w:pBdr>
      <w:autoSpaceDE/>
      <w:autoSpaceDN/>
      <w:spacing w:before="100" w:beforeAutospacing="1" w:after="100" w:afterAutospacing="1"/>
      <w:jc w:val="both"/>
      <w:textAlignment w:val="center"/>
    </w:pPr>
    <w:rPr>
      <w:rFonts w:ascii="Arial Narrow" w:eastAsia="Times New Roman" w:hAnsi="Arial Narrow" w:cs="Times New Roman"/>
      <w:color w:val="000000"/>
      <w:sz w:val="20"/>
      <w:szCs w:val="20"/>
      <w:lang w:val="es-CO" w:eastAsia="es-CO"/>
    </w:rPr>
  </w:style>
  <w:style w:type="paragraph" w:customStyle="1" w:styleId="xl91">
    <w:name w:val="xl91"/>
    <w:basedOn w:val="Normal"/>
    <w:rsid w:val="009543F1"/>
    <w:pPr>
      <w:widowControl/>
      <w:pBdr>
        <w:left w:val="single" w:sz="8" w:space="0" w:color="auto"/>
        <w:bottom w:val="single" w:sz="8" w:space="0" w:color="auto"/>
      </w:pBdr>
      <w:autoSpaceDE/>
      <w:autoSpaceDN/>
      <w:spacing w:before="100" w:beforeAutospacing="1" w:after="100" w:afterAutospacing="1"/>
      <w:jc w:val="center"/>
      <w:textAlignment w:val="center"/>
    </w:pPr>
    <w:rPr>
      <w:rFonts w:ascii="Arial Narrow" w:eastAsia="Times New Roman" w:hAnsi="Arial Narrow" w:cs="Times New Roman"/>
      <w:color w:val="000000"/>
      <w:sz w:val="20"/>
      <w:szCs w:val="20"/>
      <w:lang w:val="es-CO" w:eastAsia="es-CO"/>
    </w:rPr>
  </w:style>
  <w:style w:type="paragraph" w:customStyle="1" w:styleId="xl92">
    <w:name w:val="xl92"/>
    <w:basedOn w:val="Normal"/>
    <w:rsid w:val="009543F1"/>
    <w:pPr>
      <w:widowControl/>
      <w:pBdr>
        <w:left w:val="single" w:sz="8" w:space="0" w:color="auto"/>
        <w:bottom w:val="single" w:sz="8" w:space="0" w:color="auto"/>
      </w:pBdr>
      <w:autoSpaceDE/>
      <w:autoSpaceDN/>
      <w:spacing w:before="100" w:beforeAutospacing="1" w:after="100" w:afterAutospacing="1"/>
      <w:jc w:val="both"/>
      <w:textAlignment w:val="center"/>
    </w:pPr>
    <w:rPr>
      <w:rFonts w:ascii="Arial Narrow" w:eastAsia="Times New Roman" w:hAnsi="Arial Narrow" w:cs="Times New Roman"/>
      <w:sz w:val="20"/>
      <w:szCs w:val="20"/>
      <w:lang w:val="es-CO" w:eastAsia="es-CO"/>
    </w:rPr>
  </w:style>
  <w:style w:type="paragraph" w:customStyle="1" w:styleId="xl93">
    <w:name w:val="xl93"/>
    <w:basedOn w:val="Normal"/>
    <w:rsid w:val="009543F1"/>
    <w:pPr>
      <w:widowControl/>
      <w:pBdr>
        <w:bottom w:val="single" w:sz="8" w:space="0" w:color="auto"/>
        <w:right w:val="single" w:sz="8" w:space="0" w:color="auto"/>
      </w:pBdr>
      <w:autoSpaceDE/>
      <w:autoSpaceDN/>
      <w:spacing w:before="100" w:beforeAutospacing="1" w:after="100" w:afterAutospacing="1"/>
      <w:jc w:val="both"/>
      <w:textAlignment w:val="center"/>
    </w:pPr>
    <w:rPr>
      <w:rFonts w:ascii="Arial Narrow" w:eastAsia="Times New Roman" w:hAnsi="Arial Narrow" w:cs="Times New Roman"/>
      <w:sz w:val="20"/>
      <w:szCs w:val="20"/>
      <w:lang w:val="es-CO" w:eastAsia="es-CO"/>
    </w:rPr>
  </w:style>
  <w:style w:type="paragraph" w:customStyle="1" w:styleId="xl94">
    <w:name w:val="xl94"/>
    <w:basedOn w:val="Normal"/>
    <w:rsid w:val="009543F1"/>
    <w:pPr>
      <w:widowControl/>
      <w:pBdr>
        <w:top w:val="single" w:sz="8" w:space="0" w:color="auto"/>
        <w:left w:val="single" w:sz="8" w:space="0" w:color="auto"/>
      </w:pBdr>
      <w:shd w:val="clear" w:color="000000" w:fill="FFF2CC"/>
      <w:autoSpaceDE/>
      <w:autoSpaceDN/>
      <w:spacing w:before="100" w:beforeAutospacing="1" w:after="100" w:afterAutospacing="1"/>
      <w:textAlignment w:val="center"/>
    </w:pPr>
    <w:rPr>
      <w:rFonts w:ascii="Arial Narrow" w:eastAsia="Times New Roman" w:hAnsi="Arial Narrow" w:cs="Times New Roman"/>
      <w:b/>
      <w:bCs/>
      <w:sz w:val="20"/>
      <w:szCs w:val="20"/>
      <w:lang w:val="es-CO" w:eastAsia="es-CO"/>
    </w:rPr>
  </w:style>
  <w:style w:type="paragraph" w:customStyle="1" w:styleId="xl95">
    <w:name w:val="xl95"/>
    <w:basedOn w:val="Normal"/>
    <w:rsid w:val="009543F1"/>
    <w:pPr>
      <w:widowControl/>
      <w:pBdr>
        <w:top w:val="single" w:sz="8" w:space="0" w:color="auto"/>
      </w:pBdr>
      <w:shd w:val="clear" w:color="000000" w:fill="FFF2CC"/>
      <w:autoSpaceDE/>
      <w:autoSpaceDN/>
      <w:spacing w:before="100" w:beforeAutospacing="1" w:after="100" w:afterAutospacing="1"/>
      <w:jc w:val="center"/>
      <w:textAlignment w:val="center"/>
    </w:pPr>
    <w:rPr>
      <w:rFonts w:ascii="Arial Narrow" w:eastAsia="Times New Roman" w:hAnsi="Arial Narrow" w:cs="Times New Roman"/>
      <w:b/>
      <w:bCs/>
      <w:sz w:val="20"/>
      <w:szCs w:val="20"/>
      <w:lang w:val="es-CO" w:eastAsia="es-CO"/>
    </w:rPr>
  </w:style>
  <w:style w:type="paragraph" w:customStyle="1" w:styleId="xl96">
    <w:name w:val="xl96"/>
    <w:basedOn w:val="Normal"/>
    <w:rsid w:val="009543F1"/>
    <w:pPr>
      <w:widowControl/>
      <w:pBdr>
        <w:top w:val="single" w:sz="8" w:space="0" w:color="auto"/>
      </w:pBdr>
      <w:shd w:val="clear" w:color="000000" w:fill="FFF2CC"/>
      <w:autoSpaceDE/>
      <w:autoSpaceDN/>
      <w:spacing w:before="100" w:beforeAutospacing="1" w:after="100" w:afterAutospacing="1"/>
      <w:textAlignment w:val="center"/>
    </w:pPr>
    <w:rPr>
      <w:rFonts w:ascii="Arial Narrow" w:eastAsia="Times New Roman" w:hAnsi="Arial Narrow" w:cs="Times New Roman"/>
      <w:b/>
      <w:bCs/>
      <w:sz w:val="20"/>
      <w:szCs w:val="20"/>
      <w:lang w:val="es-CO" w:eastAsia="es-CO"/>
    </w:rPr>
  </w:style>
  <w:style w:type="paragraph" w:customStyle="1" w:styleId="xl97">
    <w:name w:val="xl97"/>
    <w:basedOn w:val="Normal"/>
    <w:rsid w:val="009543F1"/>
    <w:pPr>
      <w:widowControl/>
      <w:pBdr>
        <w:top w:val="single" w:sz="8" w:space="0" w:color="auto"/>
      </w:pBdr>
      <w:shd w:val="clear" w:color="000000" w:fill="FFF2CC"/>
      <w:autoSpaceDE/>
      <w:autoSpaceDN/>
      <w:spacing w:before="100" w:beforeAutospacing="1" w:after="100" w:afterAutospacing="1"/>
      <w:textAlignment w:val="center"/>
    </w:pPr>
    <w:rPr>
      <w:rFonts w:ascii="Arial Narrow" w:eastAsia="Times New Roman" w:hAnsi="Arial Narrow" w:cs="Times New Roman"/>
      <w:b/>
      <w:bCs/>
      <w:sz w:val="20"/>
      <w:szCs w:val="20"/>
      <w:lang w:val="es-CO" w:eastAsia="es-CO"/>
    </w:rPr>
  </w:style>
  <w:style w:type="paragraph" w:customStyle="1" w:styleId="xl98">
    <w:name w:val="xl98"/>
    <w:basedOn w:val="Normal"/>
    <w:rsid w:val="009543F1"/>
    <w:pPr>
      <w:widowControl/>
      <w:pBdr>
        <w:top w:val="single" w:sz="8" w:space="0" w:color="auto"/>
        <w:right w:val="single" w:sz="8" w:space="0" w:color="auto"/>
      </w:pBdr>
      <w:shd w:val="clear" w:color="000000" w:fill="FFF2CC"/>
      <w:autoSpaceDE/>
      <w:autoSpaceDN/>
      <w:spacing w:before="100" w:beforeAutospacing="1" w:after="100" w:afterAutospacing="1"/>
      <w:jc w:val="center"/>
      <w:textAlignment w:val="center"/>
    </w:pPr>
    <w:rPr>
      <w:rFonts w:ascii="Arial Narrow" w:eastAsia="Times New Roman" w:hAnsi="Arial Narrow" w:cs="Times New Roman"/>
      <w:b/>
      <w:bCs/>
      <w:sz w:val="20"/>
      <w:szCs w:val="20"/>
      <w:lang w:val="es-CO" w:eastAsia="es-CO"/>
    </w:rPr>
  </w:style>
  <w:style w:type="paragraph" w:customStyle="1" w:styleId="xl99">
    <w:name w:val="xl99"/>
    <w:basedOn w:val="Normal"/>
    <w:rsid w:val="009543F1"/>
    <w:pPr>
      <w:widowControl/>
      <w:pBdr>
        <w:left w:val="single" w:sz="8" w:space="0" w:color="auto"/>
      </w:pBdr>
      <w:shd w:val="clear" w:color="000000" w:fill="FFF2CC"/>
      <w:autoSpaceDE/>
      <w:autoSpaceDN/>
      <w:spacing w:before="100" w:beforeAutospacing="1" w:after="100" w:afterAutospacing="1"/>
      <w:textAlignment w:val="center"/>
    </w:pPr>
    <w:rPr>
      <w:rFonts w:ascii="Arial Narrow" w:eastAsia="Times New Roman" w:hAnsi="Arial Narrow" w:cs="Times New Roman"/>
      <w:b/>
      <w:bCs/>
      <w:sz w:val="20"/>
      <w:szCs w:val="20"/>
      <w:lang w:val="es-CO" w:eastAsia="es-CO"/>
    </w:rPr>
  </w:style>
  <w:style w:type="paragraph" w:customStyle="1" w:styleId="xl100">
    <w:name w:val="xl100"/>
    <w:basedOn w:val="Normal"/>
    <w:rsid w:val="009543F1"/>
    <w:pPr>
      <w:widowControl/>
      <w:shd w:val="clear" w:color="000000" w:fill="FFF2CC"/>
      <w:autoSpaceDE/>
      <w:autoSpaceDN/>
      <w:spacing w:before="100" w:beforeAutospacing="1" w:after="100" w:afterAutospacing="1"/>
      <w:jc w:val="center"/>
      <w:textAlignment w:val="center"/>
    </w:pPr>
    <w:rPr>
      <w:rFonts w:ascii="Arial Narrow" w:eastAsia="Times New Roman" w:hAnsi="Arial Narrow" w:cs="Times New Roman"/>
      <w:b/>
      <w:bCs/>
      <w:sz w:val="20"/>
      <w:szCs w:val="20"/>
      <w:lang w:val="es-CO" w:eastAsia="es-CO"/>
    </w:rPr>
  </w:style>
  <w:style w:type="paragraph" w:customStyle="1" w:styleId="xl101">
    <w:name w:val="xl101"/>
    <w:basedOn w:val="Normal"/>
    <w:rsid w:val="009543F1"/>
    <w:pPr>
      <w:widowControl/>
      <w:shd w:val="clear" w:color="000000" w:fill="FFF2CC"/>
      <w:autoSpaceDE/>
      <w:autoSpaceDN/>
      <w:spacing w:before="100" w:beforeAutospacing="1" w:after="100" w:afterAutospacing="1"/>
      <w:textAlignment w:val="center"/>
    </w:pPr>
    <w:rPr>
      <w:rFonts w:ascii="Arial Narrow" w:eastAsia="Times New Roman" w:hAnsi="Arial Narrow" w:cs="Times New Roman"/>
      <w:b/>
      <w:bCs/>
      <w:sz w:val="20"/>
      <w:szCs w:val="20"/>
      <w:lang w:val="es-CO" w:eastAsia="es-CO"/>
    </w:rPr>
  </w:style>
  <w:style w:type="paragraph" w:customStyle="1" w:styleId="xl102">
    <w:name w:val="xl102"/>
    <w:basedOn w:val="Normal"/>
    <w:rsid w:val="009543F1"/>
    <w:pPr>
      <w:widowControl/>
      <w:shd w:val="clear" w:color="000000" w:fill="FFF2CC"/>
      <w:autoSpaceDE/>
      <w:autoSpaceDN/>
      <w:spacing w:before="100" w:beforeAutospacing="1" w:after="100" w:afterAutospacing="1"/>
      <w:textAlignment w:val="center"/>
    </w:pPr>
    <w:rPr>
      <w:rFonts w:ascii="Arial Narrow" w:eastAsia="Times New Roman" w:hAnsi="Arial Narrow" w:cs="Times New Roman"/>
      <w:b/>
      <w:bCs/>
      <w:sz w:val="20"/>
      <w:szCs w:val="20"/>
      <w:lang w:val="es-CO" w:eastAsia="es-CO"/>
    </w:rPr>
  </w:style>
  <w:style w:type="paragraph" w:customStyle="1" w:styleId="xl103">
    <w:name w:val="xl103"/>
    <w:basedOn w:val="Normal"/>
    <w:rsid w:val="009543F1"/>
    <w:pPr>
      <w:widowControl/>
      <w:pBdr>
        <w:right w:val="single" w:sz="8" w:space="0" w:color="auto"/>
      </w:pBdr>
      <w:shd w:val="clear" w:color="000000" w:fill="FFF2CC"/>
      <w:autoSpaceDE/>
      <w:autoSpaceDN/>
      <w:spacing w:before="100" w:beforeAutospacing="1" w:after="100" w:afterAutospacing="1"/>
      <w:jc w:val="center"/>
      <w:textAlignment w:val="center"/>
    </w:pPr>
    <w:rPr>
      <w:rFonts w:ascii="Arial Narrow" w:eastAsia="Times New Roman" w:hAnsi="Arial Narrow" w:cs="Times New Roman"/>
      <w:b/>
      <w:bCs/>
      <w:sz w:val="20"/>
      <w:szCs w:val="20"/>
      <w:lang w:val="es-CO" w:eastAsia="es-CO"/>
    </w:rPr>
  </w:style>
  <w:style w:type="paragraph" w:customStyle="1" w:styleId="xl104">
    <w:name w:val="xl104"/>
    <w:basedOn w:val="Normal"/>
    <w:rsid w:val="009543F1"/>
    <w:pPr>
      <w:widowControl/>
      <w:shd w:val="clear" w:color="000000" w:fill="FFF2CC"/>
      <w:autoSpaceDE/>
      <w:autoSpaceDN/>
      <w:spacing w:before="100" w:beforeAutospacing="1" w:after="100" w:afterAutospacing="1"/>
      <w:textAlignment w:val="center"/>
    </w:pPr>
    <w:rPr>
      <w:rFonts w:ascii="Arial Narrow" w:eastAsia="Times New Roman" w:hAnsi="Arial Narrow" w:cs="Times New Roman"/>
      <w:b/>
      <w:bCs/>
      <w:sz w:val="20"/>
      <w:szCs w:val="20"/>
      <w:lang w:val="es-CO" w:eastAsia="es-CO"/>
    </w:rPr>
  </w:style>
  <w:style w:type="paragraph" w:customStyle="1" w:styleId="xl105">
    <w:name w:val="xl105"/>
    <w:basedOn w:val="Normal"/>
    <w:rsid w:val="009543F1"/>
    <w:pPr>
      <w:widowControl/>
      <w:shd w:val="clear" w:color="000000" w:fill="FFF2CC"/>
      <w:autoSpaceDE/>
      <w:autoSpaceDN/>
      <w:spacing w:before="100" w:beforeAutospacing="1" w:after="100" w:afterAutospacing="1"/>
      <w:textAlignment w:val="center"/>
    </w:pPr>
    <w:rPr>
      <w:rFonts w:ascii="Arial Narrow" w:eastAsia="Times New Roman" w:hAnsi="Arial Narrow" w:cs="Times New Roman"/>
      <w:b/>
      <w:bCs/>
      <w:sz w:val="20"/>
      <w:szCs w:val="20"/>
      <w:lang w:val="es-CO" w:eastAsia="es-CO"/>
    </w:rPr>
  </w:style>
  <w:style w:type="paragraph" w:customStyle="1" w:styleId="xl106">
    <w:name w:val="xl106"/>
    <w:basedOn w:val="Normal"/>
    <w:rsid w:val="009543F1"/>
    <w:pPr>
      <w:widowControl/>
      <w:pBdr>
        <w:right w:val="single" w:sz="8" w:space="0" w:color="auto"/>
      </w:pBdr>
      <w:shd w:val="clear" w:color="000000" w:fill="FFF2CC"/>
      <w:autoSpaceDE/>
      <w:autoSpaceDN/>
      <w:spacing w:before="100" w:beforeAutospacing="1" w:after="100" w:afterAutospacing="1"/>
      <w:jc w:val="center"/>
      <w:textAlignment w:val="center"/>
    </w:pPr>
    <w:rPr>
      <w:rFonts w:ascii="Arial Narrow" w:eastAsia="Times New Roman" w:hAnsi="Arial Narrow" w:cs="Times New Roman"/>
      <w:b/>
      <w:bCs/>
      <w:sz w:val="20"/>
      <w:szCs w:val="20"/>
      <w:lang w:val="es-CO" w:eastAsia="es-CO"/>
    </w:rPr>
  </w:style>
  <w:style w:type="paragraph" w:customStyle="1" w:styleId="xl107">
    <w:name w:val="xl107"/>
    <w:basedOn w:val="Normal"/>
    <w:rsid w:val="009543F1"/>
    <w:pPr>
      <w:widowControl/>
      <w:pBdr>
        <w:left w:val="single" w:sz="8" w:space="0" w:color="auto"/>
        <w:bottom w:val="single" w:sz="8" w:space="0" w:color="auto"/>
      </w:pBdr>
      <w:shd w:val="clear" w:color="000000" w:fill="FFF2CC"/>
      <w:autoSpaceDE/>
      <w:autoSpaceDN/>
      <w:spacing w:before="100" w:beforeAutospacing="1" w:after="100" w:afterAutospacing="1"/>
      <w:textAlignment w:val="center"/>
    </w:pPr>
    <w:rPr>
      <w:rFonts w:ascii="Arial Narrow" w:eastAsia="Times New Roman" w:hAnsi="Arial Narrow" w:cs="Times New Roman"/>
      <w:b/>
      <w:bCs/>
      <w:sz w:val="20"/>
      <w:szCs w:val="20"/>
      <w:lang w:val="es-CO" w:eastAsia="es-CO"/>
    </w:rPr>
  </w:style>
  <w:style w:type="paragraph" w:customStyle="1" w:styleId="xl108">
    <w:name w:val="xl108"/>
    <w:basedOn w:val="Normal"/>
    <w:rsid w:val="009543F1"/>
    <w:pPr>
      <w:widowControl/>
      <w:pBdr>
        <w:bottom w:val="single" w:sz="8" w:space="0" w:color="auto"/>
      </w:pBdr>
      <w:shd w:val="clear" w:color="000000" w:fill="FFF2CC"/>
      <w:autoSpaceDE/>
      <w:autoSpaceDN/>
      <w:spacing w:before="100" w:beforeAutospacing="1" w:after="100" w:afterAutospacing="1"/>
      <w:jc w:val="center"/>
      <w:textAlignment w:val="center"/>
    </w:pPr>
    <w:rPr>
      <w:rFonts w:ascii="Arial Narrow" w:eastAsia="Times New Roman" w:hAnsi="Arial Narrow" w:cs="Times New Roman"/>
      <w:b/>
      <w:bCs/>
      <w:sz w:val="20"/>
      <w:szCs w:val="20"/>
      <w:lang w:val="es-CO" w:eastAsia="es-CO"/>
    </w:rPr>
  </w:style>
  <w:style w:type="paragraph" w:customStyle="1" w:styleId="xl109">
    <w:name w:val="xl109"/>
    <w:basedOn w:val="Normal"/>
    <w:rsid w:val="009543F1"/>
    <w:pPr>
      <w:widowControl/>
      <w:pBdr>
        <w:bottom w:val="single" w:sz="8" w:space="0" w:color="auto"/>
      </w:pBdr>
      <w:shd w:val="clear" w:color="000000" w:fill="FFF2CC"/>
      <w:autoSpaceDE/>
      <w:autoSpaceDN/>
      <w:spacing w:before="100" w:beforeAutospacing="1" w:after="100" w:afterAutospacing="1"/>
      <w:textAlignment w:val="center"/>
    </w:pPr>
    <w:rPr>
      <w:rFonts w:ascii="Arial Narrow" w:eastAsia="Times New Roman" w:hAnsi="Arial Narrow" w:cs="Times New Roman"/>
      <w:b/>
      <w:bCs/>
      <w:sz w:val="20"/>
      <w:szCs w:val="20"/>
      <w:lang w:val="es-CO" w:eastAsia="es-CO"/>
    </w:rPr>
  </w:style>
  <w:style w:type="paragraph" w:customStyle="1" w:styleId="xl110">
    <w:name w:val="xl110"/>
    <w:basedOn w:val="Normal"/>
    <w:rsid w:val="009543F1"/>
    <w:pPr>
      <w:widowControl/>
      <w:pBdr>
        <w:bottom w:val="single" w:sz="8" w:space="0" w:color="auto"/>
      </w:pBdr>
      <w:shd w:val="clear" w:color="000000" w:fill="FFF2CC"/>
      <w:autoSpaceDE/>
      <w:autoSpaceDN/>
      <w:spacing w:before="100" w:beforeAutospacing="1" w:after="100" w:afterAutospacing="1"/>
      <w:textAlignment w:val="center"/>
    </w:pPr>
    <w:rPr>
      <w:rFonts w:ascii="Arial Narrow" w:eastAsia="Times New Roman" w:hAnsi="Arial Narrow" w:cs="Times New Roman"/>
      <w:b/>
      <w:bCs/>
      <w:sz w:val="20"/>
      <w:szCs w:val="20"/>
      <w:lang w:val="es-CO" w:eastAsia="es-CO"/>
    </w:rPr>
  </w:style>
  <w:style w:type="paragraph" w:customStyle="1" w:styleId="xl111">
    <w:name w:val="xl111"/>
    <w:basedOn w:val="Normal"/>
    <w:rsid w:val="009543F1"/>
    <w:pPr>
      <w:widowControl/>
      <w:pBdr>
        <w:bottom w:val="single" w:sz="8" w:space="0" w:color="auto"/>
        <w:right w:val="single" w:sz="8" w:space="0" w:color="auto"/>
      </w:pBdr>
      <w:shd w:val="clear" w:color="000000" w:fill="FFF2CC"/>
      <w:autoSpaceDE/>
      <w:autoSpaceDN/>
      <w:spacing w:before="100" w:beforeAutospacing="1" w:after="100" w:afterAutospacing="1"/>
      <w:jc w:val="center"/>
      <w:textAlignment w:val="center"/>
    </w:pPr>
    <w:rPr>
      <w:rFonts w:ascii="Arial Narrow" w:eastAsia="Times New Roman" w:hAnsi="Arial Narrow" w:cs="Times New Roman"/>
      <w:b/>
      <w:bCs/>
      <w:sz w:val="20"/>
      <w:szCs w:val="20"/>
      <w:lang w:val="es-CO" w:eastAsia="es-CO"/>
    </w:rPr>
  </w:style>
  <w:style w:type="paragraph" w:customStyle="1" w:styleId="xl112">
    <w:name w:val="xl112"/>
    <w:basedOn w:val="Normal"/>
    <w:rsid w:val="009543F1"/>
    <w:pPr>
      <w:widowControl/>
      <w:pBdr>
        <w:top w:val="single" w:sz="8" w:space="0" w:color="auto"/>
        <w:left w:val="single" w:sz="8" w:space="0" w:color="auto"/>
      </w:pBdr>
      <w:shd w:val="clear" w:color="000000" w:fill="FFF2CC"/>
      <w:autoSpaceDE/>
      <w:autoSpaceDN/>
      <w:spacing w:before="100" w:beforeAutospacing="1" w:after="100" w:afterAutospacing="1"/>
      <w:textAlignment w:val="center"/>
    </w:pPr>
    <w:rPr>
      <w:rFonts w:ascii="Arial Narrow" w:eastAsia="Times New Roman" w:hAnsi="Arial Narrow" w:cs="Times New Roman"/>
      <w:b/>
      <w:bCs/>
      <w:sz w:val="20"/>
      <w:szCs w:val="20"/>
      <w:lang w:val="es-CO" w:eastAsia="es-CO"/>
    </w:rPr>
  </w:style>
  <w:style w:type="paragraph" w:customStyle="1" w:styleId="xl113">
    <w:name w:val="xl113"/>
    <w:basedOn w:val="Normal"/>
    <w:rsid w:val="009543F1"/>
    <w:pPr>
      <w:widowControl/>
      <w:pBdr>
        <w:left w:val="single" w:sz="8" w:space="0" w:color="auto"/>
      </w:pBdr>
      <w:shd w:val="clear" w:color="000000" w:fill="FFF2CC"/>
      <w:autoSpaceDE/>
      <w:autoSpaceDN/>
      <w:spacing w:before="100" w:beforeAutospacing="1" w:after="100" w:afterAutospacing="1"/>
      <w:textAlignment w:val="center"/>
    </w:pPr>
    <w:rPr>
      <w:rFonts w:ascii="Arial Narrow" w:eastAsia="Times New Roman" w:hAnsi="Arial Narrow" w:cs="Times New Roman"/>
      <w:b/>
      <w:bCs/>
      <w:sz w:val="20"/>
      <w:szCs w:val="20"/>
      <w:lang w:val="es-CO" w:eastAsia="es-CO"/>
    </w:rPr>
  </w:style>
  <w:style w:type="paragraph" w:customStyle="1" w:styleId="xl114">
    <w:name w:val="xl114"/>
    <w:basedOn w:val="Normal"/>
    <w:rsid w:val="009543F1"/>
    <w:pPr>
      <w:widowControl/>
      <w:pBdr>
        <w:left w:val="single" w:sz="8" w:space="0" w:color="auto"/>
        <w:bottom w:val="single" w:sz="8" w:space="0" w:color="auto"/>
      </w:pBdr>
      <w:shd w:val="clear" w:color="000000" w:fill="FFF2CC"/>
      <w:autoSpaceDE/>
      <w:autoSpaceDN/>
      <w:spacing w:before="100" w:beforeAutospacing="1" w:after="100" w:afterAutospacing="1"/>
      <w:textAlignment w:val="center"/>
    </w:pPr>
    <w:rPr>
      <w:rFonts w:ascii="Arial Narrow" w:eastAsia="Times New Roman" w:hAnsi="Arial Narrow" w:cs="Times New Roman"/>
      <w:b/>
      <w:bCs/>
      <w:sz w:val="20"/>
      <w:szCs w:val="20"/>
      <w:lang w:val="es-CO" w:eastAsia="es-CO"/>
    </w:rPr>
  </w:style>
  <w:style w:type="paragraph" w:customStyle="1" w:styleId="xl115">
    <w:name w:val="xl115"/>
    <w:basedOn w:val="Normal"/>
    <w:rsid w:val="009543F1"/>
    <w:pPr>
      <w:widowControl/>
      <w:pBdr>
        <w:top w:val="single" w:sz="8" w:space="0" w:color="auto"/>
        <w:left w:val="single" w:sz="8" w:space="0" w:color="auto"/>
      </w:pBdr>
      <w:shd w:val="clear" w:color="000000" w:fill="FFF2CC"/>
      <w:autoSpaceDE/>
      <w:autoSpaceDN/>
      <w:spacing w:before="100" w:beforeAutospacing="1" w:after="100" w:afterAutospacing="1"/>
      <w:textAlignment w:val="center"/>
    </w:pPr>
    <w:rPr>
      <w:rFonts w:ascii="Arial Narrow" w:eastAsia="Times New Roman" w:hAnsi="Arial Narrow" w:cs="Times New Roman"/>
      <w:b/>
      <w:bCs/>
      <w:sz w:val="20"/>
      <w:szCs w:val="20"/>
      <w:lang w:val="es-CO" w:eastAsia="es-CO"/>
    </w:rPr>
  </w:style>
  <w:style w:type="paragraph" w:customStyle="1" w:styleId="xl116">
    <w:name w:val="xl116"/>
    <w:basedOn w:val="Normal"/>
    <w:rsid w:val="009543F1"/>
    <w:pPr>
      <w:widowControl/>
      <w:pBdr>
        <w:top w:val="single" w:sz="8" w:space="0" w:color="auto"/>
        <w:left w:val="single" w:sz="8" w:space="0" w:color="auto"/>
        <w:right w:val="single" w:sz="8" w:space="0" w:color="auto"/>
      </w:pBdr>
      <w:shd w:val="clear" w:color="000000" w:fill="A9D08E"/>
      <w:autoSpaceDE/>
      <w:autoSpaceDN/>
      <w:spacing w:before="100" w:beforeAutospacing="1" w:after="100" w:afterAutospacing="1"/>
      <w:jc w:val="center"/>
      <w:textAlignment w:val="center"/>
    </w:pPr>
    <w:rPr>
      <w:rFonts w:ascii="Arial Narrow" w:eastAsia="Times New Roman" w:hAnsi="Arial Narrow" w:cs="Times New Roman"/>
      <w:b/>
      <w:bCs/>
      <w:color w:val="000000"/>
      <w:sz w:val="24"/>
      <w:szCs w:val="24"/>
      <w:lang w:val="es-CO" w:eastAsia="es-CO"/>
    </w:rPr>
  </w:style>
  <w:style w:type="paragraph" w:customStyle="1" w:styleId="xl117">
    <w:name w:val="xl117"/>
    <w:basedOn w:val="Normal"/>
    <w:rsid w:val="009543F1"/>
    <w:pPr>
      <w:widowControl/>
      <w:pBdr>
        <w:top w:val="single" w:sz="8" w:space="0" w:color="auto"/>
        <w:left w:val="single" w:sz="8" w:space="0" w:color="auto"/>
        <w:right w:val="single" w:sz="8" w:space="0" w:color="auto"/>
      </w:pBdr>
      <w:shd w:val="clear" w:color="000000" w:fill="A9D08E"/>
      <w:autoSpaceDE/>
      <w:autoSpaceDN/>
      <w:spacing w:before="100" w:beforeAutospacing="1" w:after="100" w:afterAutospacing="1"/>
      <w:jc w:val="center"/>
      <w:textAlignment w:val="center"/>
    </w:pPr>
    <w:rPr>
      <w:rFonts w:ascii="Arial Narrow" w:eastAsia="Times New Roman" w:hAnsi="Arial Narrow" w:cs="Times New Roman"/>
      <w:b/>
      <w:bCs/>
      <w:color w:val="000000"/>
      <w:sz w:val="24"/>
      <w:szCs w:val="24"/>
      <w:lang w:val="es-CO" w:eastAsia="es-CO"/>
    </w:rPr>
  </w:style>
  <w:style w:type="paragraph" w:customStyle="1" w:styleId="xl118">
    <w:name w:val="xl118"/>
    <w:basedOn w:val="Normal"/>
    <w:rsid w:val="009543F1"/>
    <w:pPr>
      <w:widowControl/>
      <w:pBdr>
        <w:top w:val="single" w:sz="8" w:space="0" w:color="auto"/>
        <w:left w:val="single" w:sz="8" w:space="0" w:color="auto"/>
      </w:pBdr>
      <w:shd w:val="clear" w:color="000000" w:fill="A9D08E"/>
      <w:autoSpaceDE/>
      <w:autoSpaceDN/>
      <w:spacing w:before="100" w:beforeAutospacing="1" w:after="100" w:afterAutospacing="1"/>
      <w:jc w:val="center"/>
      <w:textAlignment w:val="center"/>
    </w:pPr>
    <w:rPr>
      <w:rFonts w:ascii="Arial Narrow" w:eastAsia="Times New Roman" w:hAnsi="Arial Narrow" w:cs="Times New Roman"/>
      <w:b/>
      <w:bCs/>
      <w:color w:val="000000"/>
      <w:sz w:val="24"/>
      <w:szCs w:val="24"/>
      <w:lang w:val="es-CO" w:eastAsia="es-CO"/>
    </w:rPr>
  </w:style>
  <w:style w:type="paragraph" w:customStyle="1" w:styleId="xl119">
    <w:name w:val="xl119"/>
    <w:basedOn w:val="Normal"/>
    <w:rsid w:val="009543F1"/>
    <w:pPr>
      <w:widowControl/>
      <w:pBdr>
        <w:top w:val="single" w:sz="8" w:space="0" w:color="auto"/>
      </w:pBdr>
      <w:shd w:val="clear" w:color="000000" w:fill="A9D08E"/>
      <w:autoSpaceDE/>
      <w:autoSpaceDN/>
      <w:spacing w:before="100" w:beforeAutospacing="1" w:after="100" w:afterAutospacing="1"/>
      <w:jc w:val="center"/>
      <w:textAlignment w:val="center"/>
    </w:pPr>
    <w:rPr>
      <w:rFonts w:ascii="Arial Narrow" w:eastAsia="Times New Roman" w:hAnsi="Arial Narrow" w:cs="Times New Roman"/>
      <w:b/>
      <w:bCs/>
      <w:color w:val="000000"/>
      <w:sz w:val="24"/>
      <w:szCs w:val="24"/>
      <w:lang w:val="es-CO" w:eastAsia="es-CO"/>
    </w:rPr>
  </w:style>
  <w:style w:type="paragraph" w:customStyle="1" w:styleId="xl120">
    <w:name w:val="xl120"/>
    <w:basedOn w:val="Normal"/>
    <w:rsid w:val="009543F1"/>
    <w:pPr>
      <w:widowControl/>
      <w:pBdr>
        <w:top w:val="single" w:sz="8" w:space="0" w:color="auto"/>
        <w:right w:val="single" w:sz="8" w:space="0" w:color="000000"/>
      </w:pBdr>
      <w:shd w:val="clear" w:color="000000" w:fill="A9D08E"/>
      <w:autoSpaceDE/>
      <w:autoSpaceDN/>
      <w:spacing w:before="100" w:beforeAutospacing="1" w:after="100" w:afterAutospacing="1"/>
      <w:jc w:val="center"/>
      <w:textAlignment w:val="center"/>
    </w:pPr>
    <w:rPr>
      <w:rFonts w:ascii="Arial Narrow" w:eastAsia="Times New Roman" w:hAnsi="Arial Narrow" w:cs="Times New Roman"/>
      <w:b/>
      <w:bCs/>
      <w:color w:val="000000"/>
      <w:sz w:val="24"/>
      <w:szCs w:val="24"/>
      <w:lang w:val="es-CO" w:eastAsia="es-CO"/>
    </w:rPr>
  </w:style>
  <w:style w:type="paragraph" w:customStyle="1" w:styleId="xl121">
    <w:name w:val="xl121"/>
    <w:basedOn w:val="Normal"/>
    <w:rsid w:val="009543F1"/>
    <w:pPr>
      <w:widowControl/>
      <w:pBdr>
        <w:top w:val="single" w:sz="8" w:space="0" w:color="auto"/>
        <w:left w:val="single" w:sz="8" w:space="0" w:color="000000"/>
        <w:right w:val="single" w:sz="8" w:space="0" w:color="auto"/>
      </w:pBdr>
      <w:shd w:val="clear" w:color="000000" w:fill="A9D08E"/>
      <w:autoSpaceDE/>
      <w:autoSpaceDN/>
      <w:spacing w:before="100" w:beforeAutospacing="1" w:after="100" w:afterAutospacing="1"/>
      <w:jc w:val="center"/>
      <w:textAlignment w:val="center"/>
    </w:pPr>
    <w:rPr>
      <w:rFonts w:ascii="Arial Narrow" w:eastAsia="Times New Roman" w:hAnsi="Arial Narrow" w:cs="Times New Roman"/>
      <w:b/>
      <w:bCs/>
      <w:color w:val="000000"/>
      <w:sz w:val="24"/>
      <w:szCs w:val="24"/>
      <w:lang w:val="es-CO" w:eastAsia="es-CO"/>
    </w:rPr>
  </w:style>
  <w:style w:type="paragraph" w:customStyle="1" w:styleId="xl122">
    <w:name w:val="xl122"/>
    <w:basedOn w:val="Normal"/>
    <w:rsid w:val="009543F1"/>
    <w:pPr>
      <w:widowControl/>
      <w:pBdr>
        <w:top w:val="single" w:sz="8" w:space="0" w:color="auto"/>
        <w:left w:val="single" w:sz="8" w:space="0" w:color="auto"/>
        <w:right w:val="single" w:sz="8" w:space="0" w:color="auto"/>
      </w:pBdr>
      <w:shd w:val="clear" w:color="000000" w:fill="A9D08E"/>
      <w:autoSpaceDE/>
      <w:autoSpaceDN/>
      <w:spacing w:before="100" w:beforeAutospacing="1" w:after="100" w:afterAutospacing="1"/>
      <w:jc w:val="center"/>
      <w:textAlignment w:val="center"/>
    </w:pPr>
    <w:rPr>
      <w:rFonts w:ascii="Arial Narrow" w:eastAsia="Times New Roman" w:hAnsi="Arial Narrow" w:cs="Times New Roman"/>
      <w:b/>
      <w:bCs/>
      <w:sz w:val="24"/>
      <w:szCs w:val="24"/>
      <w:lang w:val="es-CO" w:eastAsia="es-CO"/>
    </w:rPr>
  </w:style>
  <w:style w:type="paragraph" w:customStyle="1" w:styleId="xl123">
    <w:name w:val="xl123"/>
    <w:basedOn w:val="Normal"/>
    <w:rsid w:val="009543F1"/>
    <w:pPr>
      <w:widowControl/>
      <w:pBdr>
        <w:left w:val="single" w:sz="8" w:space="0" w:color="auto"/>
        <w:right w:val="single" w:sz="8" w:space="0" w:color="auto"/>
      </w:pBdr>
      <w:shd w:val="clear" w:color="000000" w:fill="A9D08E"/>
      <w:autoSpaceDE/>
      <w:autoSpaceDN/>
      <w:spacing w:before="100" w:beforeAutospacing="1" w:after="100" w:afterAutospacing="1"/>
      <w:jc w:val="center"/>
      <w:textAlignment w:val="center"/>
    </w:pPr>
    <w:rPr>
      <w:rFonts w:ascii="Arial Narrow" w:eastAsia="Times New Roman" w:hAnsi="Arial Narrow" w:cs="Times New Roman"/>
      <w:b/>
      <w:bCs/>
      <w:color w:val="000000"/>
      <w:sz w:val="24"/>
      <w:szCs w:val="24"/>
      <w:lang w:val="es-CO" w:eastAsia="es-CO"/>
    </w:rPr>
  </w:style>
  <w:style w:type="paragraph" w:customStyle="1" w:styleId="xl124">
    <w:name w:val="xl124"/>
    <w:basedOn w:val="Normal"/>
    <w:rsid w:val="009543F1"/>
    <w:pPr>
      <w:widowControl/>
      <w:pBdr>
        <w:left w:val="single" w:sz="8" w:space="0" w:color="auto"/>
        <w:right w:val="single" w:sz="8" w:space="0" w:color="auto"/>
      </w:pBdr>
      <w:shd w:val="clear" w:color="000000" w:fill="A9D08E"/>
      <w:autoSpaceDE/>
      <w:autoSpaceDN/>
      <w:spacing w:before="100" w:beforeAutospacing="1" w:after="100" w:afterAutospacing="1"/>
      <w:jc w:val="center"/>
      <w:textAlignment w:val="center"/>
    </w:pPr>
    <w:rPr>
      <w:rFonts w:ascii="Arial Narrow" w:eastAsia="Times New Roman" w:hAnsi="Arial Narrow" w:cs="Times New Roman"/>
      <w:b/>
      <w:bCs/>
      <w:color w:val="000000"/>
      <w:sz w:val="24"/>
      <w:szCs w:val="24"/>
      <w:lang w:val="es-CO" w:eastAsia="es-CO"/>
    </w:rPr>
  </w:style>
  <w:style w:type="paragraph" w:customStyle="1" w:styleId="xl125">
    <w:name w:val="xl125"/>
    <w:basedOn w:val="Normal"/>
    <w:rsid w:val="009543F1"/>
    <w:pPr>
      <w:widowControl/>
      <w:pBdr>
        <w:left w:val="single" w:sz="8" w:space="0" w:color="auto"/>
      </w:pBdr>
      <w:shd w:val="clear" w:color="000000" w:fill="A9D08E"/>
      <w:autoSpaceDE/>
      <w:autoSpaceDN/>
      <w:spacing w:before="100" w:beforeAutospacing="1" w:after="100" w:afterAutospacing="1"/>
      <w:jc w:val="center"/>
      <w:textAlignment w:val="center"/>
    </w:pPr>
    <w:rPr>
      <w:rFonts w:ascii="Arial Narrow" w:eastAsia="Times New Roman" w:hAnsi="Arial Narrow" w:cs="Times New Roman"/>
      <w:b/>
      <w:bCs/>
      <w:color w:val="000000"/>
      <w:sz w:val="24"/>
      <w:szCs w:val="24"/>
      <w:lang w:val="es-CO" w:eastAsia="es-CO"/>
    </w:rPr>
  </w:style>
  <w:style w:type="paragraph" w:customStyle="1" w:styleId="xl126">
    <w:name w:val="xl126"/>
    <w:basedOn w:val="Normal"/>
    <w:rsid w:val="009543F1"/>
    <w:pPr>
      <w:widowControl/>
      <w:shd w:val="clear" w:color="000000" w:fill="A9D08E"/>
      <w:autoSpaceDE/>
      <w:autoSpaceDN/>
      <w:spacing w:before="100" w:beforeAutospacing="1" w:after="100" w:afterAutospacing="1"/>
      <w:jc w:val="center"/>
      <w:textAlignment w:val="center"/>
    </w:pPr>
    <w:rPr>
      <w:rFonts w:ascii="Arial Narrow" w:eastAsia="Times New Roman" w:hAnsi="Arial Narrow" w:cs="Times New Roman"/>
      <w:b/>
      <w:bCs/>
      <w:color w:val="000000"/>
      <w:sz w:val="24"/>
      <w:szCs w:val="24"/>
      <w:lang w:val="es-CO" w:eastAsia="es-CO"/>
    </w:rPr>
  </w:style>
  <w:style w:type="paragraph" w:customStyle="1" w:styleId="xl127">
    <w:name w:val="xl127"/>
    <w:basedOn w:val="Normal"/>
    <w:rsid w:val="009543F1"/>
    <w:pPr>
      <w:widowControl/>
      <w:pBdr>
        <w:right w:val="single" w:sz="8" w:space="0" w:color="000000"/>
      </w:pBdr>
      <w:shd w:val="clear" w:color="000000" w:fill="A9D08E"/>
      <w:autoSpaceDE/>
      <w:autoSpaceDN/>
      <w:spacing w:before="100" w:beforeAutospacing="1" w:after="100" w:afterAutospacing="1"/>
      <w:jc w:val="center"/>
      <w:textAlignment w:val="center"/>
    </w:pPr>
    <w:rPr>
      <w:rFonts w:ascii="Arial Narrow" w:eastAsia="Times New Roman" w:hAnsi="Arial Narrow" w:cs="Times New Roman"/>
      <w:b/>
      <w:bCs/>
      <w:color w:val="000000"/>
      <w:sz w:val="24"/>
      <w:szCs w:val="24"/>
      <w:lang w:val="es-CO" w:eastAsia="es-CO"/>
    </w:rPr>
  </w:style>
  <w:style w:type="paragraph" w:customStyle="1" w:styleId="xl128">
    <w:name w:val="xl128"/>
    <w:basedOn w:val="Normal"/>
    <w:rsid w:val="009543F1"/>
    <w:pPr>
      <w:widowControl/>
      <w:pBdr>
        <w:left w:val="single" w:sz="8" w:space="0" w:color="000000"/>
        <w:right w:val="single" w:sz="8" w:space="0" w:color="auto"/>
      </w:pBdr>
      <w:shd w:val="clear" w:color="000000" w:fill="A9D08E"/>
      <w:autoSpaceDE/>
      <w:autoSpaceDN/>
      <w:spacing w:before="100" w:beforeAutospacing="1" w:after="100" w:afterAutospacing="1"/>
      <w:jc w:val="center"/>
      <w:textAlignment w:val="center"/>
    </w:pPr>
    <w:rPr>
      <w:rFonts w:ascii="Arial Narrow" w:eastAsia="Times New Roman" w:hAnsi="Arial Narrow" w:cs="Times New Roman"/>
      <w:b/>
      <w:bCs/>
      <w:color w:val="000000"/>
      <w:sz w:val="24"/>
      <w:szCs w:val="24"/>
      <w:lang w:val="es-CO" w:eastAsia="es-CO"/>
    </w:rPr>
  </w:style>
  <w:style w:type="paragraph" w:customStyle="1" w:styleId="xl129">
    <w:name w:val="xl129"/>
    <w:basedOn w:val="Normal"/>
    <w:rsid w:val="009543F1"/>
    <w:pPr>
      <w:widowControl/>
      <w:pBdr>
        <w:left w:val="single" w:sz="8" w:space="0" w:color="auto"/>
        <w:right w:val="single" w:sz="8" w:space="0" w:color="auto"/>
      </w:pBdr>
      <w:shd w:val="clear" w:color="000000" w:fill="A9D08E"/>
      <w:autoSpaceDE/>
      <w:autoSpaceDN/>
      <w:spacing w:before="100" w:beforeAutospacing="1" w:after="100" w:afterAutospacing="1"/>
      <w:jc w:val="center"/>
      <w:textAlignment w:val="center"/>
    </w:pPr>
    <w:rPr>
      <w:rFonts w:ascii="Arial Narrow" w:eastAsia="Times New Roman" w:hAnsi="Arial Narrow" w:cs="Times New Roman"/>
      <w:b/>
      <w:bCs/>
      <w:sz w:val="24"/>
      <w:szCs w:val="24"/>
      <w:lang w:val="es-CO" w:eastAsia="es-CO"/>
    </w:rPr>
  </w:style>
  <w:style w:type="paragraph" w:customStyle="1" w:styleId="xl130">
    <w:name w:val="xl130"/>
    <w:basedOn w:val="Normal"/>
    <w:rsid w:val="009543F1"/>
    <w:pPr>
      <w:widowControl/>
      <w:pBdr>
        <w:left w:val="single" w:sz="8" w:space="0" w:color="auto"/>
        <w:bottom w:val="single" w:sz="8" w:space="0" w:color="auto"/>
        <w:right w:val="single" w:sz="8" w:space="0" w:color="auto"/>
      </w:pBdr>
      <w:shd w:val="clear" w:color="000000" w:fill="A9D08E"/>
      <w:autoSpaceDE/>
      <w:autoSpaceDN/>
      <w:spacing w:before="100" w:beforeAutospacing="1" w:after="100" w:afterAutospacing="1"/>
      <w:jc w:val="center"/>
      <w:textAlignment w:val="center"/>
    </w:pPr>
    <w:rPr>
      <w:rFonts w:ascii="Arial Narrow" w:eastAsia="Times New Roman" w:hAnsi="Arial Narrow" w:cs="Times New Roman"/>
      <w:b/>
      <w:bCs/>
      <w:color w:val="000000"/>
      <w:sz w:val="24"/>
      <w:szCs w:val="24"/>
      <w:lang w:val="es-CO" w:eastAsia="es-CO"/>
    </w:rPr>
  </w:style>
  <w:style w:type="paragraph" w:customStyle="1" w:styleId="xl131">
    <w:name w:val="xl131"/>
    <w:basedOn w:val="Normal"/>
    <w:rsid w:val="009543F1"/>
    <w:pPr>
      <w:widowControl/>
      <w:pBdr>
        <w:left w:val="single" w:sz="8" w:space="0" w:color="auto"/>
        <w:bottom w:val="single" w:sz="8" w:space="0" w:color="auto"/>
        <w:right w:val="single" w:sz="8" w:space="0" w:color="auto"/>
      </w:pBdr>
      <w:shd w:val="clear" w:color="000000" w:fill="A9D08E"/>
      <w:autoSpaceDE/>
      <w:autoSpaceDN/>
      <w:spacing w:before="100" w:beforeAutospacing="1" w:after="100" w:afterAutospacing="1"/>
      <w:jc w:val="center"/>
      <w:textAlignment w:val="center"/>
    </w:pPr>
    <w:rPr>
      <w:rFonts w:ascii="Arial Narrow" w:eastAsia="Times New Roman" w:hAnsi="Arial Narrow" w:cs="Times New Roman"/>
      <w:b/>
      <w:bCs/>
      <w:color w:val="000000"/>
      <w:sz w:val="24"/>
      <w:szCs w:val="24"/>
      <w:lang w:val="es-CO" w:eastAsia="es-CO"/>
    </w:rPr>
  </w:style>
  <w:style w:type="paragraph" w:customStyle="1" w:styleId="xl132">
    <w:name w:val="xl132"/>
    <w:basedOn w:val="Normal"/>
    <w:rsid w:val="009543F1"/>
    <w:pPr>
      <w:widowControl/>
      <w:pBdr>
        <w:left w:val="single" w:sz="8" w:space="0" w:color="auto"/>
        <w:bottom w:val="single" w:sz="8" w:space="0" w:color="auto"/>
      </w:pBdr>
      <w:shd w:val="clear" w:color="000000" w:fill="A9D08E"/>
      <w:autoSpaceDE/>
      <w:autoSpaceDN/>
      <w:spacing w:before="100" w:beforeAutospacing="1" w:after="100" w:afterAutospacing="1"/>
      <w:jc w:val="center"/>
      <w:textAlignment w:val="center"/>
    </w:pPr>
    <w:rPr>
      <w:rFonts w:ascii="Arial Narrow" w:eastAsia="Times New Roman" w:hAnsi="Arial Narrow" w:cs="Times New Roman"/>
      <w:b/>
      <w:bCs/>
      <w:color w:val="000000"/>
      <w:sz w:val="24"/>
      <w:szCs w:val="24"/>
      <w:lang w:val="es-CO" w:eastAsia="es-CO"/>
    </w:rPr>
  </w:style>
  <w:style w:type="paragraph" w:customStyle="1" w:styleId="xl133">
    <w:name w:val="xl133"/>
    <w:basedOn w:val="Normal"/>
    <w:rsid w:val="009543F1"/>
    <w:pPr>
      <w:widowControl/>
      <w:pBdr>
        <w:bottom w:val="single" w:sz="8" w:space="0" w:color="auto"/>
      </w:pBdr>
      <w:shd w:val="clear" w:color="000000" w:fill="A9D08E"/>
      <w:autoSpaceDE/>
      <w:autoSpaceDN/>
      <w:spacing w:before="100" w:beforeAutospacing="1" w:after="100" w:afterAutospacing="1"/>
      <w:jc w:val="center"/>
      <w:textAlignment w:val="center"/>
    </w:pPr>
    <w:rPr>
      <w:rFonts w:ascii="Arial Narrow" w:eastAsia="Times New Roman" w:hAnsi="Arial Narrow" w:cs="Times New Roman"/>
      <w:b/>
      <w:bCs/>
      <w:color w:val="000000"/>
      <w:sz w:val="24"/>
      <w:szCs w:val="24"/>
      <w:lang w:val="es-CO" w:eastAsia="es-CO"/>
    </w:rPr>
  </w:style>
  <w:style w:type="paragraph" w:customStyle="1" w:styleId="xl134">
    <w:name w:val="xl134"/>
    <w:basedOn w:val="Normal"/>
    <w:rsid w:val="009543F1"/>
    <w:pPr>
      <w:widowControl/>
      <w:pBdr>
        <w:bottom w:val="single" w:sz="8" w:space="0" w:color="auto"/>
        <w:right w:val="single" w:sz="8" w:space="0" w:color="000000"/>
      </w:pBdr>
      <w:shd w:val="clear" w:color="000000" w:fill="A9D08E"/>
      <w:autoSpaceDE/>
      <w:autoSpaceDN/>
      <w:spacing w:before="100" w:beforeAutospacing="1" w:after="100" w:afterAutospacing="1"/>
      <w:jc w:val="center"/>
      <w:textAlignment w:val="center"/>
    </w:pPr>
    <w:rPr>
      <w:rFonts w:ascii="Arial Narrow" w:eastAsia="Times New Roman" w:hAnsi="Arial Narrow" w:cs="Times New Roman"/>
      <w:b/>
      <w:bCs/>
      <w:color w:val="000000"/>
      <w:sz w:val="24"/>
      <w:szCs w:val="24"/>
      <w:lang w:val="es-CO" w:eastAsia="es-CO"/>
    </w:rPr>
  </w:style>
  <w:style w:type="paragraph" w:customStyle="1" w:styleId="xl135">
    <w:name w:val="xl135"/>
    <w:basedOn w:val="Normal"/>
    <w:rsid w:val="009543F1"/>
    <w:pPr>
      <w:widowControl/>
      <w:pBdr>
        <w:left w:val="single" w:sz="8" w:space="0" w:color="000000"/>
        <w:bottom w:val="single" w:sz="8" w:space="0" w:color="auto"/>
        <w:right w:val="single" w:sz="8" w:space="0" w:color="auto"/>
      </w:pBdr>
      <w:shd w:val="clear" w:color="000000" w:fill="A9D08E"/>
      <w:autoSpaceDE/>
      <w:autoSpaceDN/>
      <w:spacing w:before="100" w:beforeAutospacing="1" w:after="100" w:afterAutospacing="1"/>
      <w:jc w:val="center"/>
      <w:textAlignment w:val="center"/>
    </w:pPr>
    <w:rPr>
      <w:rFonts w:ascii="Arial Narrow" w:eastAsia="Times New Roman" w:hAnsi="Arial Narrow" w:cs="Times New Roman"/>
      <w:b/>
      <w:bCs/>
      <w:color w:val="000000"/>
      <w:sz w:val="24"/>
      <w:szCs w:val="24"/>
      <w:lang w:val="es-CO" w:eastAsia="es-CO"/>
    </w:rPr>
  </w:style>
  <w:style w:type="paragraph" w:customStyle="1" w:styleId="xl136">
    <w:name w:val="xl136"/>
    <w:basedOn w:val="Normal"/>
    <w:rsid w:val="009543F1"/>
    <w:pPr>
      <w:widowControl/>
      <w:pBdr>
        <w:left w:val="single" w:sz="8" w:space="0" w:color="auto"/>
        <w:bottom w:val="single" w:sz="8" w:space="0" w:color="auto"/>
        <w:right w:val="single" w:sz="8" w:space="0" w:color="auto"/>
      </w:pBdr>
      <w:shd w:val="clear" w:color="000000" w:fill="A9D08E"/>
      <w:autoSpaceDE/>
      <w:autoSpaceDN/>
      <w:spacing w:before="100" w:beforeAutospacing="1" w:after="100" w:afterAutospacing="1"/>
      <w:jc w:val="center"/>
      <w:textAlignment w:val="center"/>
    </w:pPr>
    <w:rPr>
      <w:rFonts w:ascii="Arial Narrow" w:eastAsia="Times New Roman" w:hAnsi="Arial Narrow" w:cs="Times New Roman"/>
      <w:b/>
      <w:bCs/>
      <w:sz w:val="24"/>
      <w:szCs w:val="24"/>
      <w:lang w:val="es-CO" w:eastAsia="es-CO"/>
    </w:rPr>
  </w:style>
  <w:style w:type="paragraph" w:customStyle="1" w:styleId="xl137">
    <w:name w:val="xl137"/>
    <w:basedOn w:val="Normal"/>
    <w:rsid w:val="009543F1"/>
    <w:pPr>
      <w:widowControl/>
      <w:pBdr>
        <w:left w:val="single" w:sz="8" w:space="0" w:color="000000"/>
        <w:bottom w:val="single" w:sz="8" w:space="0" w:color="auto"/>
        <w:right w:val="single" w:sz="8" w:space="0" w:color="auto"/>
      </w:pBdr>
      <w:shd w:val="clear" w:color="000000" w:fill="A9D08E"/>
      <w:autoSpaceDE/>
      <w:autoSpaceDN/>
      <w:spacing w:before="100" w:beforeAutospacing="1" w:after="100" w:afterAutospacing="1"/>
      <w:jc w:val="center"/>
      <w:textAlignment w:val="center"/>
    </w:pPr>
    <w:rPr>
      <w:rFonts w:ascii="Arial Narrow" w:eastAsia="Times New Roman" w:hAnsi="Arial Narrow" w:cs="Times New Roman"/>
      <w:b/>
      <w:bCs/>
      <w:color w:val="000000"/>
      <w:sz w:val="24"/>
      <w:szCs w:val="24"/>
      <w:lang w:val="es-CO" w:eastAsia="es-CO"/>
    </w:rPr>
  </w:style>
  <w:style w:type="paragraph" w:customStyle="1" w:styleId="xl138">
    <w:name w:val="xl138"/>
    <w:basedOn w:val="Normal"/>
    <w:rsid w:val="009543F1"/>
    <w:pPr>
      <w:widowControl/>
      <w:pBdr>
        <w:left w:val="single" w:sz="8" w:space="0" w:color="auto"/>
        <w:bottom w:val="single" w:sz="8" w:space="0" w:color="auto"/>
        <w:right w:val="single" w:sz="8" w:space="0" w:color="auto"/>
      </w:pBdr>
      <w:shd w:val="clear" w:color="000000" w:fill="A9D08E"/>
      <w:autoSpaceDE/>
      <w:autoSpaceDN/>
      <w:spacing w:before="100" w:beforeAutospacing="1" w:after="100" w:afterAutospacing="1"/>
      <w:jc w:val="center"/>
      <w:textAlignment w:val="center"/>
    </w:pPr>
    <w:rPr>
      <w:rFonts w:ascii="Arial Narrow" w:eastAsia="Times New Roman" w:hAnsi="Arial Narrow" w:cs="Times New Roman"/>
      <w:b/>
      <w:bCs/>
      <w:sz w:val="24"/>
      <w:szCs w:val="24"/>
      <w:lang w:val="es-CO" w:eastAsia="es-CO"/>
    </w:rPr>
  </w:style>
  <w:style w:type="paragraph" w:customStyle="1" w:styleId="font6">
    <w:name w:val="font6"/>
    <w:basedOn w:val="Normal"/>
    <w:rsid w:val="009543F1"/>
    <w:pPr>
      <w:widowControl/>
      <w:autoSpaceDE/>
      <w:autoSpaceDN/>
      <w:spacing w:before="100" w:beforeAutospacing="1" w:after="100" w:afterAutospacing="1"/>
    </w:pPr>
    <w:rPr>
      <w:rFonts w:ascii="Calibri" w:eastAsia="Times New Roman" w:hAnsi="Calibri" w:cs="Calibri"/>
      <w:color w:val="000000"/>
      <w:lang w:val="es-CO" w:eastAsia="es-CO"/>
    </w:rPr>
  </w:style>
  <w:style w:type="paragraph" w:customStyle="1" w:styleId="msonormal0">
    <w:name w:val="msonormal"/>
    <w:basedOn w:val="Normal"/>
    <w:rsid w:val="009543F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139">
    <w:name w:val="xl139"/>
    <w:basedOn w:val="Normal"/>
    <w:rsid w:val="009543F1"/>
    <w:pPr>
      <w:widowControl/>
      <w:pBdr>
        <w:top w:val="single" w:sz="4" w:space="0" w:color="auto"/>
        <w:left w:val="single" w:sz="8" w:space="0" w:color="auto"/>
        <w:bottom w:val="single" w:sz="8" w:space="0" w:color="auto"/>
      </w:pBdr>
      <w:autoSpaceDE/>
      <w:autoSpaceDN/>
      <w:spacing w:before="100" w:beforeAutospacing="1" w:after="100" w:afterAutospacing="1"/>
      <w:textAlignment w:val="center"/>
    </w:pPr>
    <w:rPr>
      <w:rFonts w:ascii="Arial Narrow" w:eastAsia="Times New Roman" w:hAnsi="Arial Narrow" w:cs="Times New Roman"/>
      <w:sz w:val="20"/>
      <w:szCs w:val="20"/>
      <w:lang w:val="es-CO" w:eastAsia="es-CO"/>
    </w:rPr>
  </w:style>
  <w:style w:type="paragraph" w:customStyle="1" w:styleId="xl140">
    <w:name w:val="xl140"/>
    <w:basedOn w:val="Normal"/>
    <w:rsid w:val="009543F1"/>
    <w:pPr>
      <w:widowControl/>
      <w:pBdr>
        <w:top w:val="single" w:sz="4" w:space="0" w:color="auto"/>
        <w:bottom w:val="single" w:sz="8" w:space="0" w:color="auto"/>
      </w:pBdr>
      <w:autoSpaceDE/>
      <w:autoSpaceDN/>
      <w:spacing w:before="100" w:beforeAutospacing="1" w:after="100" w:afterAutospacing="1"/>
      <w:textAlignment w:val="center"/>
    </w:pPr>
    <w:rPr>
      <w:rFonts w:ascii="Arial Narrow" w:eastAsia="Times New Roman" w:hAnsi="Arial Narrow" w:cs="Times New Roman"/>
      <w:sz w:val="20"/>
      <w:szCs w:val="20"/>
      <w:lang w:val="es-CO" w:eastAsia="es-CO"/>
    </w:rPr>
  </w:style>
  <w:style w:type="paragraph" w:customStyle="1" w:styleId="xl141">
    <w:name w:val="xl141"/>
    <w:basedOn w:val="Normal"/>
    <w:rsid w:val="009543F1"/>
    <w:pPr>
      <w:widowControl/>
      <w:pBdr>
        <w:top w:val="single" w:sz="4" w:space="0" w:color="auto"/>
        <w:bottom w:val="single" w:sz="8" w:space="0" w:color="auto"/>
        <w:right w:val="single" w:sz="8" w:space="0" w:color="auto"/>
      </w:pBdr>
      <w:autoSpaceDE/>
      <w:autoSpaceDN/>
      <w:spacing w:before="100" w:beforeAutospacing="1" w:after="100" w:afterAutospacing="1"/>
      <w:textAlignment w:val="center"/>
    </w:pPr>
    <w:rPr>
      <w:rFonts w:ascii="Arial Narrow" w:eastAsia="Times New Roman" w:hAnsi="Arial Narrow" w:cs="Times New Roman"/>
      <w:sz w:val="20"/>
      <w:szCs w:val="20"/>
      <w:lang w:val="es-CO" w:eastAsia="es-CO"/>
    </w:rPr>
  </w:style>
  <w:style w:type="paragraph" w:customStyle="1" w:styleId="xl142">
    <w:name w:val="xl142"/>
    <w:basedOn w:val="Normal"/>
    <w:rsid w:val="009543F1"/>
    <w:pPr>
      <w:widowControl/>
      <w:pBdr>
        <w:top w:val="single" w:sz="4" w:space="0" w:color="auto"/>
        <w:left w:val="single" w:sz="8"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20"/>
      <w:szCs w:val="20"/>
      <w:lang w:val="es-CO" w:eastAsia="es-CO"/>
    </w:rPr>
  </w:style>
  <w:style w:type="paragraph" w:customStyle="1" w:styleId="xl143">
    <w:name w:val="xl143"/>
    <w:basedOn w:val="Normal"/>
    <w:rsid w:val="009543F1"/>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20"/>
      <w:szCs w:val="20"/>
      <w:lang w:val="es-CO" w:eastAsia="es-CO"/>
    </w:rPr>
  </w:style>
  <w:style w:type="paragraph" w:customStyle="1" w:styleId="xl144">
    <w:name w:val="xl144"/>
    <w:basedOn w:val="Normal"/>
    <w:rsid w:val="009543F1"/>
    <w:pPr>
      <w:widowControl/>
      <w:pBdr>
        <w:top w:val="single" w:sz="4" w:space="0" w:color="auto"/>
        <w:left w:val="single" w:sz="4" w:space="0" w:color="auto"/>
        <w:right w:val="single" w:sz="8" w:space="0" w:color="auto"/>
      </w:pBdr>
      <w:autoSpaceDE/>
      <w:autoSpaceDN/>
      <w:spacing w:before="100" w:beforeAutospacing="1" w:after="100" w:afterAutospacing="1"/>
      <w:textAlignment w:val="center"/>
    </w:pPr>
    <w:rPr>
      <w:rFonts w:ascii="Arial Narrow" w:eastAsia="Times New Roman" w:hAnsi="Arial Narrow" w:cs="Times New Roman"/>
      <w:sz w:val="20"/>
      <w:szCs w:val="20"/>
      <w:lang w:val="es-CO" w:eastAsia="es-CO"/>
    </w:rPr>
  </w:style>
  <w:style w:type="paragraph" w:customStyle="1" w:styleId="xl145">
    <w:name w:val="xl145"/>
    <w:basedOn w:val="Normal"/>
    <w:rsid w:val="009543F1"/>
    <w:pPr>
      <w:widowControl/>
      <w:pBdr>
        <w:top w:val="single" w:sz="8" w:space="0" w:color="auto"/>
      </w:pBdr>
      <w:shd w:val="clear" w:color="000000" w:fill="C2D69B"/>
      <w:autoSpaceDE/>
      <w:autoSpaceDN/>
      <w:spacing w:before="100" w:beforeAutospacing="1" w:after="100" w:afterAutospacing="1"/>
      <w:textAlignment w:val="center"/>
    </w:pPr>
    <w:rPr>
      <w:rFonts w:ascii="Arial Narrow" w:eastAsia="Times New Roman" w:hAnsi="Arial Narrow" w:cs="Times New Roman"/>
      <w:b/>
      <w:bCs/>
      <w:color w:val="000000"/>
      <w:sz w:val="20"/>
      <w:szCs w:val="20"/>
      <w:lang w:val="es-CO" w:eastAsia="es-CO"/>
    </w:rPr>
  </w:style>
  <w:style w:type="paragraph" w:customStyle="1" w:styleId="xl146">
    <w:name w:val="xl146"/>
    <w:basedOn w:val="Normal"/>
    <w:rsid w:val="009543F1"/>
    <w:pPr>
      <w:widowControl/>
      <w:pBdr>
        <w:top w:val="single" w:sz="8" w:space="0" w:color="auto"/>
        <w:right w:val="single" w:sz="8" w:space="0" w:color="auto"/>
      </w:pBdr>
      <w:shd w:val="clear" w:color="000000" w:fill="C2D69B"/>
      <w:autoSpaceDE/>
      <w:autoSpaceDN/>
      <w:spacing w:before="100" w:beforeAutospacing="1" w:after="100" w:afterAutospacing="1"/>
      <w:textAlignment w:val="center"/>
    </w:pPr>
    <w:rPr>
      <w:rFonts w:ascii="Arial Narrow" w:eastAsia="Times New Roman" w:hAnsi="Arial Narrow" w:cs="Times New Roman"/>
      <w:b/>
      <w:bCs/>
      <w:color w:val="000000"/>
      <w:sz w:val="20"/>
      <w:szCs w:val="20"/>
      <w:lang w:val="es-CO" w:eastAsia="es-CO"/>
    </w:rPr>
  </w:style>
  <w:style w:type="paragraph" w:customStyle="1" w:styleId="xl147">
    <w:name w:val="xl147"/>
    <w:basedOn w:val="Normal"/>
    <w:rsid w:val="009543F1"/>
    <w:pPr>
      <w:widowControl/>
      <w:pBdr>
        <w:left w:val="single" w:sz="8"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20"/>
      <w:szCs w:val="20"/>
      <w:lang w:val="es-CO" w:eastAsia="es-CO"/>
    </w:rPr>
  </w:style>
  <w:style w:type="paragraph" w:customStyle="1" w:styleId="xl148">
    <w:name w:val="xl148"/>
    <w:basedOn w:val="Normal"/>
    <w:rsid w:val="009543F1"/>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20"/>
      <w:szCs w:val="20"/>
      <w:lang w:val="es-CO" w:eastAsia="es-CO"/>
    </w:rPr>
  </w:style>
  <w:style w:type="paragraph" w:customStyle="1" w:styleId="xl149">
    <w:name w:val="xl149"/>
    <w:basedOn w:val="Normal"/>
    <w:rsid w:val="009543F1"/>
    <w:pPr>
      <w:widowControl/>
      <w:pBdr>
        <w:left w:val="single" w:sz="4" w:space="0" w:color="auto"/>
        <w:bottom w:val="single" w:sz="4" w:space="0" w:color="auto"/>
        <w:right w:val="single" w:sz="8" w:space="0" w:color="auto"/>
      </w:pBdr>
      <w:autoSpaceDE/>
      <w:autoSpaceDN/>
      <w:spacing w:before="100" w:beforeAutospacing="1" w:after="100" w:afterAutospacing="1"/>
      <w:textAlignment w:val="center"/>
    </w:pPr>
    <w:rPr>
      <w:rFonts w:ascii="Arial Narrow" w:eastAsia="Times New Roman" w:hAnsi="Arial Narrow" w:cs="Times New Roman"/>
      <w:sz w:val="20"/>
      <w:szCs w:val="20"/>
      <w:lang w:val="es-CO" w:eastAsia="es-CO"/>
    </w:rPr>
  </w:style>
  <w:style w:type="paragraph" w:customStyle="1" w:styleId="xl150">
    <w:name w:val="xl150"/>
    <w:basedOn w:val="Normal"/>
    <w:rsid w:val="009543F1"/>
    <w:pPr>
      <w:widowControl/>
      <w:pBdr>
        <w:top w:val="single" w:sz="8" w:space="0" w:color="auto"/>
        <w:left w:val="single" w:sz="8" w:space="0" w:color="000000"/>
        <w:bottom w:val="single" w:sz="8"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color w:val="000000"/>
      <w:sz w:val="20"/>
      <w:szCs w:val="20"/>
      <w:lang w:val="es-CO" w:eastAsia="es-CO"/>
    </w:rPr>
  </w:style>
  <w:style w:type="paragraph" w:customStyle="1" w:styleId="xl151">
    <w:name w:val="xl151"/>
    <w:basedOn w:val="Normal"/>
    <w:rsid w:val="009543F1"/>
    <w:pPr>
      <w:widowControl/>
      <w:pBdr>
        <w:top w:val="single" w:sz="8" w:space="0" w:color="auto"/>
        <w:bottom w:val="single" w:sz="8"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color w:val="000000"/>
      <w:sz w:val="20"/>
      <w:szCs w:val="20"/>
      <w:lang w:val="es-CO" w:eastAsia="es-CO"/>
    </w:rPr>
  </w:style>
  <w:style w:type="paragraph" w:customStyle="1" w:styleId="xl152">
    <w:name w:val="xl152"/>
    <w:basedOn w:val="Normal"/>
    <w:rsid w:val="009543F1"/>
    <w:pPr>
      <w:widowControl/>
      <w:pBdr>
        <w:top w:val="single" w:sz="8" w:space="0" w:color="auto"/>
        <w:left w:val="single" w:sz="8" w:space="0" w:color="000000"/>
        <w:bottom w:val="single" w:sz="8" w:space="0" w:color="auto"/>
      </w:pBdr>
      <w:shd w:val="clear" w:color="000000" w:fill="C00000"/>
      <w:autoSpaceDE/>
      <w:autoSpaceDN/>
      <w:spacing w:before="100" w:beforeAutospacing="1" w:after="100" w:afterAutospacing="1"/>
      <w:jc w:val="center"/>
      <w:textAlignment w:val="center"/>
    </w:pPr>
    <w:rPr>
      <w:rFonts w:ascii="Arial Narrow" w:eastAsia="Times New Roman" w:hAnsi="Arial Narrow" w:cs="Times New Roman"/>
      <w:color w:val="FFFFFF"/>
      <w:sz w:val="20"/>
      <w:szCs w:val="20"/>
      <w:lang w:val="es-CO" w:eastAsia="es-CO"/>
    </w:rPr>
  </w:style>
  <w:style w:type="paragraph" w:customStyle="1" w:styleId="xl153">
    <w:name w:val="xl153"/>
    <w:basedOn w:val="Normal"/>
    <w:rsid w:val="009543F1"/>
    <w:pPr>
      <w:widowControl/>
      <w:pBdr>
        <w:top w:val="single" w:sz="8" w:space="0" w:color="auto"/>
        <w:bottom w:val="single" w:sz="8" w:space="0" w:color="auto"/>
        <w:right w:val="single" w:sz="8" w:space="0" w:color="000000"/>
      </w:pBdr>
      <w:shd w:val="clear" w:color="000000" w:fill="C00000"/>
      <w:autoSpaceDE/>
      <w:autoSpaceDN/>
      <w:spacing w:before="100" w:beforeAutospacing="1" w:after="100" w:afterAutospacing="1"/>
      <w:jc w:val="center"/>
      <w:textAlignment w:val="center"/>
    </w:pPr>
    <w:rPr>
      <w:rFonts w:ascii="Arial Narrow" w:eastAsia="Times New Roman" w:hAnsi="Arial Narrow" w:cs="Times New Roman"/>
      <w:color w:val="FFFFFF"/>
      <w:sz w:val="20"/>
      <w:szCs w:val="20"/>
      <w:lang w:val="es-CO" w:eastAsia="es-CO"/>
    </w:rPr>
  </w:style>
  <w:style w:type="paragraph" w:customStyle="1" w:styleId="xl154">
    <w:name w:val="xl154"/>
    <w:basedOn w:val="Normal"/>
    <w:rsid w:val="009543F1"/>
    <w:pPr>
      <w:widowControl/>
      <w:pBdr>
        <w:top w:val="single" w:sz="8" w:space="0" w:color="auto"/>
        <w:left w:val="single" w:sz="8" w:space="0" w:color="auto"/>
      </w:pBdr>
      <w:shd w:val="clear" w:color="000000" w:fill="C2D69B"/>
      <w:autoSpaceDE/>
      <w:autoSpaceDN/>
      <w:spacing w:before="100" w:beforeAutospacing="1" w:after="100" w:afterAutospacing="1"/>
      <w:jc w:val="center"/>
      <w:textAlignment w:val="center"/>
    </w:pPr>
    <w:rPr>
      <w:rFonts w:ascii="Arial Narrow" w:eastAsia="Times New Roman" w:hAnsi="Arial Narrow" w:cs="Times New Roman"/>
      <w:b/>
      <w:bCs/>
      <w:color w:val="000000"/>
      <w:sz w:val="20"/>
      <w:szCs w:val="20"/>
      <w:lang w:val="es-CO" w:eastAsia="es-CO"/>
    </w:rPr>
  </w:style>
  <w:style w:type="paragraph" w:customStyle="1" w:styleId="xl155">
    <w:name w:val="xl155"/>
    <w:basedOn w:val="Normal"/>
    <w:rsid w:val="009543F1"/>
    <w:pPr>
      <w:widowControl/>
      <w:shd w:val="clear" w:color="000000" w:fill="C2D69B"/>
      <w:autoSpaceDE/>
      <w:autoSpaceDN/>
      <w:spacing w:before="100" w:beforeAutospacing="1" w:after="100" w:afterAutospacing="1"/>
      <w:textAlignment w:val="center"/>
    </w:pPr>
    <w:rPr>
      <w:rFonts w:ascii="Arial Narrow" w:eastAsia="Times New Roman" w:hAnsi="Arial Narrow" w:cs="Times New Roman"/>
      <w:b/>
      <w:bCs/>
      <w:color w:val="000000"/>
      <w:sz w:val="20"/>
      <w:szCs w:val="20"/>
      <w:lang w:val="es-CO" w:eastAsia="es-CO"/>
    </w:rPr>
  </w:style>
  <w:style w:type="paragraph" w:customStyle="1" w:styleId="xl156">
    <w:name w:val="xl156"/>
    <w:basedOn w:val="Normal"/>
    <w:rsid w:val="009543F1"/>
    <w:pPr>
      <w:widowControl/>
      <w:pBdr>
        <w:left w:val="single" w:sz="8" w:space="0" w:color="auto"/>
      </w:pBdr>
      <w:shd w:val="clear" w:color="000000" w:fill="C2D69B"/>
      <w:autoSpaceDE/>
      <w:autoSpaceDN/>
      <w:spacing w:before="100" w:beforeAutospacing="1" w:after="100" w:afterAutospacing="1"/>
      <w:jc w:val="center"/>
      <w:textAlignment w:val="center"/>
    </w:pPr>
    <w:rPr>
      <w:rFonts w:ascii="Arial Narrow" w:eastAsia="Times New Roman" w:hAnsi="Arial Narrow" w:cs="Times New Roman"/>
      <w:b/>
      <w:bCs/>
      <w:color w:val="000000"/>
      <w:sz w:val="20"/>
      <w:szCs w:val="20"/>
      <w:lang w:val="es-CO" w:eastAsia="es-CO"/>
    </w:rPr>
  </w:style>
  <w:style w:type="paragraph" w:customStyle="1" w:styleId="xl157">
    <w:name w:val="xl157"/>
    <w:basedOn w:val="Normal"/>
    <w:rsid w:val="009543F1"/>
    <w:pPr>
      <w:widowControl/>
      <w:shd w:val="clear" w:color="000000" w:fill="FFFFFF"/>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158">
    <w:name w:val="xl158"/>
    <w:basedOn w:val="Normal"/>
    <w:rsid w:val="009543F1"/>
    <w:pPr>
      <w:widowControl/>
      <w:shd w:val="clear" w:color="000000" w:fill="FFFFFF"/>
      <w:autoSpaceDE/>
      <w:autoSpaceDN/>
      <w:spacing w:before="100" w:beforeAutospacing="1" w:after="100" w:afterAutospacing="1"/>
    </w:pPr>
    <w:rPr>
      <w:rFonts w:ascii="Arial Narrow" w:eastAsia="Times New Roman" w:hAnsi="Arial Narrow" w:cs="Times New Roman"/>
      <w:sz w:val="20"/>
      <w:szCs w:val="20"/>
      <w:lang w:val="es-CO" w:eastAsia="es-CO"/>
    </w:rPr>
  </w:style>
  <w:style w:type="paragraph" w:customStyle="1" w:styleId="xl159">
    <w:name w:val="xl159"/>
    <w:basedOn w:val="Normal"/>
    <w:rsid w:val="009543F1"/>
    <w:pPr>
      <w:widowControl/>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CO" w:eastAsia="es-CO"/>
    </w:rPr>
  </w:style>
  <w:style w:type="paragraph" w:customStyle="1" w:styleId="xl160">
    <w:name w:val="xl160"/>
    <w:basedOn w:val="Normal"/>
    <w:rsid w:val="009543F1"/>
    <w:pPr>
      <w:widowControl/>
      <w:shd w:val="clear" w:color="000000" w:fill="FFFFFF"/>
      <w:autoSpaceDE/>
      <w:autoSpaceDN/>
      <w:spacing w:before="100" w:beforeAutospacing="1" w:after="100" w:afterAutospacing="1"/>
      <w:jc w:val="center"/>
    </w:pPr>
    <w:rPr>
      <w:rFonts w:ascii="Times New Roman" w:eastAsia="Times New Roman" w:hAnsi="Times New Roman" w:cs="Times New Roman"/>
      <w:sz w:val="24"/>
      <w:szCs w:val="24"/>
      <w:lang w:val="es-CO" w:eastAsia="es-CO"/>
    </w:rPr>
  </w:style>
  <w:style w:type="paragraph" w:customStyle="1" w:styleId="xl161">
    <w:name w:val="xl161"/>
    <w:basedOn w:val="Normal"/>
    <w:rsid w:val="009543F1"/>
    <w:pPr>
      <w:widowControl/>
      <w:pBdr>
        <w:left w:val="single" w:sz="8" w:space="0" w:color="auto"/>
        <w:bottom w:val="single" w:sz="8" w:space="0" w:color="auto"/>
      </w:pBdr>
      <w:shd w:val="clear" w:color="000000" w:fill="C2D69B"/>
      <w:autoSpaceDE/>
      <w:autoSpaceDN/>
      <w:spacing w:before="100" w:beforeAutospacing="1" w:after="100" w:afterAutospacing="1"/>
      <w:jc w:val="center"/>
      <w:textAlignment w:val="center"/>
    </w:pPr>
    <w:rPr>
      <w:rFonts w:ascii="Arial Narrow" w:eastAsia="Times New Roman" w:hAnsi="Arial Narrow" w:cs="Times New Roman"/>
      <w:b/>
      <w:bCs/>
      <w:color w:val="000000"/>
      <w:sz w:val="20"/>
      <w:szCs w:val="20"/>
      <w:lang w:val="es-CO" w:eastAsia="es-CO"/>
    </w:rPr>
  </w:style>
  <w:style w:type="paragraph" w:customStyle="1" w:styleId="xl162">
    <w:name w:val="xl162"/>
    <w:basedOn w:val="Normal"/>
    <w:rsid w:val="009543F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Narrow" w:eastAsia="Times New Roman" w:hAnsi="Arial Narrow" w:cs="Times New Roman"/>
      <w:color w:val="000000"/>
      <w:sz w:val="20"/>
      <w:szCs w:val="20"/>
      <w:lang w:val="es-CO" w:eastAsia="es-CO"/>
    </w:rPr>
  </w:style>
  <w:style w:type="paragraph" w:customStyle="1" w:styleId="xl163">
    <w:name w:val="xl163"/>
    <w:basedOn w:val="Normal"/>
    <w:rsid w:val="009543F1"/>
    <w:pPr>
      <w:widowControl/>
      <w:pBdr>
        <w:left w:val="single" w:sz="8" w:space="0" w:color="auto"/>
        <w:bottom w:val="single" w:sz="8" w:space="0" w:color="000000"/>
      </w:pBdr>
      <w:shd w:val="clear" w:color="000000" w:fill="C2D69B"/>
      <w:autoSpaceDE/>
      <w:autoSpaceDN/>
      <w:spacing w:before="100" w:beforeAutospacing="1" w:after="100" w:afterAutospacing="1"/>
      <w:jc w:val="center"/>
      <w:textAlignment w:val="center"/>
    </w:pPr>
    <w:rPr>
      <w:rFonts w:ascii="Arial Narrow" w:eastAsia="Times New Roman" w:hAnsi="Arial Narrow" w:cs="Times New Roman"/>
      <w:b/>
      <w:bCs/>
      <w:color w:val="000000"/>
      <w:sz w:val="20"/>
      <w:szCs w:val="20"/>
      <w:lang w:val="es-CO" w:eastAsia="es-CO"/>
    </w:rPr>
  </w:style>
  <w:style w:type="paragraph" w:customStyle="1" w:styleId="xl164">
    <w:name w:val="xl164"/>
    <w:basedOn w:val="Normal"/>
    <w:rsid w:val="009543F1"/>
    <w:pPr>
      <w:widowControl/>
      <w:pBdr>
        <w:left w:val="single" w:sz="8" w:space="0" w:color="auto"/>
        <w:right w:val="single" w:sz="8" w:space="0" w:color="auto"/>
      </w:pBdr>
      <w:autoSpaceDE/>
      <w:autoSpaceDN/>
      <w:spacing w:before="100" w:beforeAutospacing="1" w:after="100" w:afterAutospacing="1"/>
      <w:jc w:val="center"/>
      <w:textAlignment w:val="center"/>
    </w:pPr>
    <w:rPr>
      <w:rFonts w:ascii="Arial Narrow" w:eastAsia="Times New Roman" w:hAnsi="Arial Narrow" w:cs="Times New Roman"/>
      <w:color w:val="000000"/>
      <w:sz w:val="20"/>
      <w:szCs w:val="20"/>
      <w:lang w:val="es-CO" w:eastAsia="es-CO"/>
    </w:rPr>
  </w:style>
  <w:style w:type="paragraph" w:customStyle="1" w:styleId="xl165">
    <w:name w:val="xl165"/>
    <w:basedOn w:val="Normal"/>
    <w:rsid w:val="009543F1"/>
    <w:pPr>
      <w:widowControl/>
      <w:pBdr>
        <w:left w:val="single" w:sz="8" w:space="0" w:color="auto"/>
      </w:pBdr>
      <w:shd w:val="clear" w:color="000000" w:fill="C2D69B"/>
      <w:autoSpaceDE/>
      <w:autoSpaceDN/>
      <w:spacing w:before="100" w:beforeAutospacing="1" w:after="100" w:afterAutospacing="1"/>
      <w:jc w:val="center"/>
      <w:textAlignment w:val="center"/>
    </w:pPr>
    <w:rPr>
      <w:rFonts w:ascii="Arial Narrow" w:eastAsia="Times New Roman" w:hAnsi="Arial Narrow" w:cs="Times New Roman"/>
      <w:b/>
      <w:bCs/>
      <w:color w:val="000000"/>
      <w:sz w:val="20"/>
      <w:szCs w:val="20"/>
      <w:lang w:val="es-CO" w:eastAsia="es-CO"/>
    </w:rPr>
  </w:style>
  <w:style w:type="paragraph" w:customStyle="1" w:styleId="xl166">
    <w:name w:val="xl166"/>
    <w:basedOn w:val="Normal"/>
    <w:rsid w:val="009543F1"/>
    <w:pPr>
      <w:widowControl/>
      <w:pBdr>
        <w:left w:val="single" w:sz="8" w:space="0" w:color="auto"/>
        <w:bottom w:val="single" w:sz="8" w:space="0" w:color="auto"/>
      </w:pBdr>
      <w:shd w:val="clear" w:color="000000" w:fill="C2D69B"/>
      <w:autoSpaceDE/>
      <w:autoSpaceDN/>
      <w:spacing w:before="100" w:beforeAutospacing="1" w:after="100" w:afterAutospacing="1"/>
      <w:jc w:val="center"/>
      <w:textAlignment w:val="center"/>
    </w:pPr>
    <w:rPr>
      <w:rFonts w:ascii="Arial Narrow" w:eastAsia="Times New Roman" w:hAnsi="Arial Narrow" w:cs="Times New Roman"/>
      <w:b/>
      <w:bCs/>
      <w:color w:val="000000"/>
      <w:sz w:val="20"/>
      <w:szCs w:val="20"/>
      <w:lang w:val="es-CO" w:eastAsia="es-CO"/>
    </w:rPr>
  </w:style>
  <w:style w:type="paragraph" w:customStyle="1" w:styleId="xl167">
    <w:name w:val="xl167"/>
    <w:basedOn w:val="Normal"/>
    <w:rsid w:val="009543F1"/>
    <w:pPr>
      <w:widowControl/>
      <w:pBdr>
        <w:left w:val="single" w:sz="8" w:space="0" w:color="auto"/>
        <w:bottom w:val="single" w:sz="8" w:space="0" w:color="000000"/>
      </w:pBdr>
      <w:shd w:val="clear" w:color="000000" w:fill="C2D69B"/>
      <w:autoSpaceDE/>
      <w:autoSpaceDN/>
      <w:spacing w:before="100" w:beforeAutospacing="1" w:after="100" w:afterAutospacing="1"/>
      <w:jc w:val="center"/>
      <w:textAlignment w:val="center"/>
    </w:pPr>
    <w:rPr>
      <w:rFonts w:ascii="Arial Narrow" w:eastAsia="Times New Roman" w:hAnsi="Arial Narrow" w:cs="Times New Roman"/>
      <w:b/>
      <w:bCs/>
      <w:color w:val="000000"/>
      <w:sz w:val="20"/>
      <w:szCs w:val="20"/>
      <w:lang w:val="es-CO" w:eastAsia="es-CO"/>
    </w:rPr>
  </w:style>
  <w:style w:type="paragraph" w:customStyle="1" w:styleId="xl168">
    <w:name w:val="xl168"/>
    <w:basedOn w:val="Normal"/>
    <w:rsid w:val="009543F1"/>
    <w:pPr>
      <w:widowControl/>
      <w:pBdr>
        <w:top w:val="single" w:sz="8" w:space="0" w:color="auto"/>
        <w:left w:val="single" w:sz="8" w:space="0" w:color="auto"/>
      </w:pBdr>
      <w:shd w:val="clear" w:color="000000" w:fill="C2D69B"/>
      <w:autoSpaceDE/>
      <w:autoSpaceDN/>
      <w:spacing w:before="100" w:beforeAutospacing="1" w:after="100" w:afterAutospacing="1"/>
      <w:jc w:val="center"/>
      <w:textAlignment w:val="center"/>
    </w:pPr>
    <w:rPr>
      <w:rFonts w:ascii="Arial Narrow" w:eastAsia="Times New Roman" w:hAnsi="Arial Narrow" w:cs="Times New Roman"/>
      <w:b/>
      <w:bCs/>
      <w:color w:val="000000"/>
      <w:sz w:val="20"/>
      <w:szCs w:val="20"/>
      <w:lang w:val="es-CO" w:eastAsia="es-CO"/>
    </w:rPr>
  </w:style>
  <w:style w:type="paragraph" w:customStyle="1" w:styleId="xl169">
    <w:name w:val="xl169"/>
    <w:basedOn w:val="Normal"/>
    <w:rsid w:val="009543F1"/>
    <w:pPr>
      <w:widowControl/>
      <w:pBdr>
        <w:top w:val="single" w:sz="4" w:space="0" w:color="auto"/>
        <w:left w:val="single" w:sz="8" w:space="0" w:color="auto"/>
        <w:bottom w:val="single" w:sz="4" w:space="0" w:color="auto"/>
      </w:pBdr>
      <w:autoSpaceDE/>
      <w:autoSpaceDN/>
      <w:spacing w:before="100" w:beforeAutospacing="1" w:after="100" w:afterAutospacing="1"/>
      <w:textAlignment w:val="center"/>
    </w:pPr>
    <w:rPr>
      <w:rFonts w:ascii="Arial Narrow" w:eastAsia="Times New Roman" w:hAnsi="Arial Narrow" w:cs="Times New Roman"/>
      <w:sz w:val="20"/>
      <w:szCs w:val="20"/>
      <w:lang w:val="es-CO" w:eastAsia="es-CO"/>
    </w:rPr>
  </w:style>
  <w:style w:type="paragraph" w:customStyle="1" w:styleId="xl170">
    <w:name w:val="xl170"/>
    <w:basedOn w:val="Normal"/>
    <w:rsid w:val="009543F1"/>
    <w:pPr>
      <w:widowControl/>
      <w:pBdr>
        <w:top w:val="single" w:sz="4" w:space="0" w:color="auto"/>
        <w:bottom w:val="single" w:sz="4" w:space="0" w:color="auto"/>
      </w:pBdr>
      <w:autoSpaceDE/>
      <w:autoSpaceDN/>
      <w:spacing w:before="100" w:beforeAutospacing="1" w:after="100" w:afterAutospacing="1"/>
      <w:textAlignment w:val="center"/>
    </w:pPr>
    <w:rPr>
      <w:rFonts w:ascii="Arial Narrow" w:eastAsia="Times New Roman" w:hAnsi="Arial Narrow" w:cs="Times New Roman"/>
      <w:sz w:val="20"/>
      <w:szCs w:val="20"/>
      <w:lang w:val="es-CO" w:eastAsia="es-CO"/>
    </w:rPr>
  </w:style>
  <w:style w:type="paragraph" w:customStyle="1" w:styleId="xl171">
    <w:name w:val="xl171"/>
    <w:basedOn w:val="Normal"/>
    <w:rsid w:val="009543F1"/>
    <w:pPr>
      <w:widowControl/>
      <w:pBdr>
        <w:top w:val="single" w:sz="4" w:space="0" w:color="auto"/>
        <w:bottom w:val="single" w:sz="4" w:space="0" w:color="auto"/>
        <w:right w:val="single" w:sz="8" w:space="0" w:color="auto"/>
      </w:pBdr>
      <w:autoSpaceDE/>
      <w:autoSpaceDN/>
      <w:spacing w:before="100" w:beforeAutospacing="1" w:after="100" w:afterAutospacing="1"/>
      <w:textAlignment w:val="center"/>
    </w:pPr>
    <w:rPr>
      <w:rFonts w:ascii="Arial Narrow" w:eastAsia="Times New Roman" w:hAnsi="Arial Narrow" w:cs="Times New Roman"/>
      <w:sz w:val="20"/>
      <w:szCs w:val="20"/>
      <w:lang w:val="es-CO" w:eastAsia="es-CO"/>
    </w:rPr>
  </w:style>
  <w:style w:type="paragraph" w:customStyle="1" w:styleId="xl172">
    <w:name w:val="xl172"/>
    <w:basedOn w:val="Normal"/>
    <w:rsid w:val="009543F1"/>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20"/>
      <w:szCs w:val="20"/>
      <w:lang w:val="es-CO" w:eastAsia="es-CO"/>
    </w:rPr>
  </w:style>
  <w:style w:type="paragraph" w:customStyle="1" w:styleId="xl173">
    <w:name w:val="xl173"/>
    <w:basedOn w:val="Normal"/>
    <w:rsid w:val="009543F1"/>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20"/>
      <w:szCs w:val="20"/>
      <w:lang w:val="es-CO" w:eastAsia="es-CO"/>
    </w:rPr>
  </w:style>
  <w:style w:type="paragraph" w:customStyle="1" w:styleId="xl174">
    <w:name w:val="xl174"/>
    <w:basedOn w:val="Normal"/>
    <w:rsid w:val="009543F1"/>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textAlignment w:val="center"/>
    </w:pPr>
    <w:rPr>
      <w:rFonts w:ascii="Arial Narrow" w:eastAsia="Times New Roman" w:hAnsi="Arial Narrow" w:cs="Times New Roman"/>
      <w:sz w:val="20"/>
      <w:szCs w:val="20"/>
      <w:lang w:val="es-CO" w:eastAsia="es-CO"/>
    </w:rPr>
  </w:style>
  <w:style w:type="paragraph" w:customStyle="1" w:styleId="xl175">
    <w:name w:val="xl175"/>
    <w:basedOn w:val="Normal"/>
    <w:rsid w:val="009543F1"/>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rFonts w:ascii="Arial Narrow" w:eastAsia="Times New Roman" w:hAnsi="Arial Narrow" w:cs="Times New Roman"/>
      <w:sz w:val="20"/>
      <w:szCs w:val="20"/>
      <w:lang w:val="es-CO" w:eastAsia="es-CO"/>
    </w:rPr>
  </w:style>
  <w:style w:type="paragraph" w:customStyle="1" w:styleId="xl176">
    <w:name w:val="xl176"/>
    <w:basedOn w:val="Normal"/>
    <w:rsid w:val="009543F1"/>
    <w:pPr>
      <w:widowControl/>
      <w:pBdr>
        <w:top w:val="single" w:sz="8" w:space="0" w:color="auto"/>
        <w:bottom w:val="single" w:sz="8" w:space="0" w:color="auto"/>
      </w:pBdr>
      <w:autoSpaceDE/>
      <w:autoSpaceDN/>
      <w:spacing w:before="100" w:beforeAutospacing="1" w:after="100" w:afterAutospacing="1"/>
      <w:textAlignment w:val="center"/>
    </w:pPr>
    <w:rPr>
      <w:rFonts w:ascii="Arial Narrow" w:eastAsia="Times New Roman" w:hAnsi="Arial Narrow" w:cs="Times New Roman"/>
      <w:sz w:val="20"/>
      <w:szCs w:val="20"/>
      <w:lang w:val="es-CO" w:eastAsia="es-CO"/>
    </w:rPr>
  </w:style>
  <w:style w:type="paragraph" w:customStyle="1" w:styleId="xl177">
    <w:name w:val="xl177"/>
    <w:basedOn w:val="Normal"/>
    <w:rsid w:val="009543F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Arial Narrow" w:eastAsia="Times New Roman" w:hAnsi="Arial Narrow" w:cs="Times New Roman"/>
      <w:sz w:val="20"/>
      <w:szCs w:val="20"/>
      <w:lang w:val="es-CO" w:eastAsia="es-CO"/>
    </w:rPr>
  </w:style>
  <w:style w:type="paragraph" w:customStyle="1" w:styleId="xl178">
    <w:name w:val="xl178"/>
    <w:basedOn w:val="Normal"/>
    <w:rsid w:val="009543F1"/>
    <w:pPr>
      <w:widowControl/>
      <w:pBdr>
        <w:left w:val="single" w:sz="8"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20"/>
      <w:szCs w:val="20"/>
      <w:lang w:val="es-CO" w:eastAsia="es-CO"/>
    </w:rPr>
  </w:style>
  <w:style w:type="paragraph" w:customStyle="1" w:styleId="xl179">
    <w:name w:val="xl179"/>
    <w:basedOn w:val="Normal"/>
    <w:rsid w:val="009543F1"/>
    <w:pPr>
      <w:widowControl/>
      <w:pBdr>
        <w:left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20"/>
      <w:szCs w:val="20"/>
      <w:lang w:val="es-CO" w:eastAsia="es-CO"/>
    </w:rPr>
  </w:style>
  <w:style w:type="paragraph" w:customStyle="1" w:styleId="xl180">
    <w:name w:val="xl180"/>
    <w:basedOn w:val="Normal"/>
    <w:rsid w:val="009543F1"/>
    <w:pPr>
      <w:widowControl/>
      <w:pBdr>
        <w:left w:val="single" w:sz="4" w:space="0" w:color="auto"/>
        <w:right w:val="single" w:sz="8" w:space="0" w:color="auto"/>
      </w:pBdr>
      <w:autoSpaceDE/>
      <w:autoSpaceDN/>
      <w:spacing w:before="100" w:beforeAutospacing="1" w:after="100" w:afterAutospacing="1"/>
      <w:textAlignment w:val="center"/>
    </w:pPr>
    <w:rPr>
      <w:rFonts w:ascii="Arial Narrow" w:eastAsia="Times New Roman" w:hAnsi="Arial Narrow" w:cs="Times New Roman"/>
      <w:sz w:val="20"/>
      <w:szCs w:val="20"/>
      <w:lang w:val="es-CO" w:eastAsia="es-CO"/>
    </w:rPr>
  </w:style>
  <w:style w:type="paragraph" w:customStyle="1" w:styleId="xl181">
    <w:name w:val="xl181"/>
    <w:basedOn w:val="Normal"/>
    <w:rsid w:val="009543F1"/>
    <w:pPr>
      <w:widowControl/>
      <w:pBdr>
        <w:right w:val="single" w:sz="8" w:space="0" w:color="000000"/>
      </w:pBdr>
      <w:autoSpaceDE/>
      <w:autoSpaceDN/>
      <w:spacing w:before="100" w:beforeAutospacing="1" w:after="100" w:afterAutospacing="1"/>
      <w:jc w:val="center"/>
      <w:textAlignment w:val="center"/>
    </w:pPr>
    <w:rPr>
      <w:rFonts w:ascii="Arial Narrow" w:eastAsia="Times New Roman" w:hAnsi="Arial Narrow" w:cs="Times New Roman"/>
      <w:color w:val="000000"/>
      <w:sz w:val="20"/>
      <w:szCs w:val="20"/>
      <w:lang w:val="es-CO" w:eastAsia="es-CO"/>
    </w:rPr>
  </w:style>
  <w:style w:type="character" w:customStyle="1" w:styleId="TextocomentarioCar1">
    <w:name w:val="Texto comentario Car1"/>
    <w:uiPriority w:val="99"/>
    <w:semiHidden/>
    <w:rsid w:val="009543F1"/>
    <w:rPr>
      <w:sz w:val="20"/>
      <w:szCs w:val="20"/>
    </w:rPr>
  </w:style>
  <w:style w:type="character" w:customStyle="1" w:styleId="fontstyle31">
    <w:name w:val="fontstyle31"/>
    <w:basedOn w:val="Fuentedeprrafopredeter"/>
    <w:rsid w:val="000F099B"/>
    <w:rPr>
      <w:rFonts w:ascii="Arial" w:hAnsi="Arial" w:cs="Arial" w:hint="default"/>
      <w:b w:val="0"/>
      <w:bCs w:val="0"/>
      <w:i/>
      <w:iCs/>
      <w:color w:val="000000"/>
      <w:sz w:val="20"/>
      <w:szCs w:val="20"/>
    </w:rPr>
  </w:style>
  <w:style w:type="paragraph" w:customStyle="1" w:styleId="font7">
    <w:name w:val="font7"/>
    <w:basedOn w:val="Normal"/>
    <w:rsid w:val="000F099B"/>
    <w:pPr>
      <w:widowControl/>
      <w:autoSpaceDE/>
      <w:autoSpaceDN/>
      <w:spacing w:before="100" w:beforeAutospacing="1" w:after="100" w:afterAutospacing="1"/>
    </w:pPr>
    <w:rPr>
      <w:rFonts w:ascii="Arial Narrow" w:eastAsia="Times New Roman" w:hAnsi="Arial Narrow" w:cs="Times New Roman"/>
      <w:i/>
      <w:iCs/>
      <w:color w:val="000000"/>
      <w:sz w:val="28"/>
      <w:szCs w:val="28"/>
      <w:lang w:val="es-CO" w:eastAsia="es-CO"/>
    </w:rPr>
  </w:style>
  <w:style w:type="table" w:styleId="Tablaconcuadrculaclara">
    <w:name w:val="Grid Table Light"/>
    <w:basedOn w:val="Tablanormal"/>
    <w:uiPriority w:val="40"/>
    <w:rsid w:val="000F099B"/>
    <w:pPr>
      <w:widowControl/>
      <w:autoSpaceDE/>
      <w:autoSpaceDN/>
      <w:jc w:val="both"/>
    </w:pPr>
    <w:rPr>
      <w:rFonts w:eastAsiaTheme="minorEastAsia"/>
      <w:lang w:val="es-ES_tradn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08364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header" Target="header3.xml"/><Relationship Id="rId28"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footer" Target="footer2.xml"/><Relationship Id="rId27"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F:\riesgos\cuadros%20de%20GAP%20y%20Anexo%20A.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oleObject" Target="file:///F:\riesgos\cuadros%20de%20GAP%20y%20Anexo%20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file:///F:\riesgos\cuadros%20de%20GAP%20y%20Anexo%20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oleObject" Target="file:///F:\riesgos\cuadros%20de%20GAP%20y%20Anexo%20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Cumplimiento ISO27001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27756167979002627"/>
          <c:y val="0.15060002916302132"/>
          <c:w val="0.48376574803149608"/>
          <c:h val="0.80627624671916009"/>
        </c:manualLayout>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7943-4DD1-A1D7-3C6EE0A0ACCD}"/>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7943-4DD1-A1D7-3C6EE0A0ACCD}"/>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7943-4DD1-A1D7-3C6EE0A0ACCD}"/>
              </c:ext>
            </c:extLst>
          </c:dPt>
          <c:dLbls>
            <c:dLbl>
              <c:idx val="1"/>
              <c:spPr>
                <a:solidFill>
                  <a:schemeClr val="tx1"/>
                </a:solidFill>
                <a:ln w="25400" cap="flat" cmpd="sng" algn="ctr">
                  <a:solidFill>
                    <a:schemeClr val="dk1">
                      <a:shade val="50000"/>
                    </a:schemeClr>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1"/>
              <c:showBubbleSize val="0"/>
              <c:extLst>
                <c:ext xmlns:c16="http://schemas.microsoft.com/office/drawing/2014/chart" uri="{C3380CC4-5D6E-409C-BE32-E72D297353CC}">
                  <c16:uniqueId val="{00000003-7943-4DD1-A1D7-3C6EE0A0ACCD}"/>
                </c:ext>
              </c:extLst>
            </c:dLbl>
            <c:dLbl>
              <c:idx val="2"/>
              <c:spPr>
                <a:solidFill>
                  <a:schemeClr val="tx1"/>
                </a:solid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bg1"/>
                      </a:solidFill>
                      <a:latin typeface="+mn-lt"/>
                      <a:ea typeface="+mn-ea"/>
                      <a:cs typeface="+mn-cs"/>
                    </a:defRPr>
                  </a:pPr>
                  <a:endParaRPr lang="es-CO"/>
                </a:p>
              </c:txPr>
              <c:showLegendKey val="0"/>
              <c:showVal val="1"/>
              <c:showCatName val="0"/>
              <c:showSerName val="0"/>
              <c:showPercent val="1"/>
              <c:showBubbleSize val="0"/>
              <c:extLst>
                <c:ext xmlns:c16="http://schemas.microsoft.com/office/drawing/2014/chart" uri="{C3380CC4-5D6E-409C-BE32-E72D297353CC}">
                  <c16:uniqueId val="{00000005-7943-4DD1-A1D7-3C6EE0A0ACCD}"/>
                </c:ext>
              </c:extLst>
            </c:dLbl>
            <c:spPr>
              <a:solidFill>
                <a:schemeClr val="tx1"/>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'Reporte Clausulas'!$B$9:$B$11</c:f>
              <c:strCache>
                <c:ptCount val="3"/>
                <c:pt idx="0">
                  <c:v>SI</c:v>
                </c:pt>
                <c:pt idx="1">
                  <c:v>PARCIAL</c:v>
                </c:pt>
                <c:pt idx="2">
                  <c:v>NO</c:v>
                </c:pt>
              </c:strCache>
            </c:strRef>
          </c:cat>
          <c:val>
            <c:numRef>
              <c:f>'Reporte Clausulas'!$C$9:$C$11</c:f>
              <c:numCache>
                <c:formatCode>General</c:formatCode>
                <c:ptCount val="3"/>
                <c:pt idx="0">
                  <c:v>35</c:v>
                </c:pt>
                <c:pt idx="1">
                  <c:v>20</c:v>
                </c:pt>
                <c:pt idx="2">
                  <c:v>49</c:v>
                </c:pt>
              </c:numCache>
            </c:numRef>
          </c:val>
          <c:extLst>
            <c:ext xmlns:c16="http://schemas.microsoft.com/office/drawing/2014/chart" uri="{C3380CC4-5D6E-409C-BE32-E72D297353CC}">
              <c16:uniqueId val="{00000006-7943-4DD1-A1D7-3C6EE0A0ACC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9948097112860894"/>
          <c:y val="0.6116892680081657"/>
          <c:w val="0.16492672790901136"/>
          <c:h val="0.281829250510352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radarChart>
        <c:radarStyle val="marker"/>
        <c:varyColors val="0"/>
        <c:ser>
          <c:idx val="0"/>
          <c:order val="0"/>
          <c:tx>
            <c:strRef>
              <c:f>'ANEXO A'!$C$3:$C$4</c:f>
              <c:strCache>
                <c:ptCount val="2"/>
                <c:pt idx="0">
                  <c:v>Nivel de Madurez</c:v>
                </c:pt>
                <c:pt idx="1">
                  <c:v>Nivel Actual</c:v>
                </c:pt>
              </c:strCache>
            </c:strRef>
          </c:tx>
          <c:spPr>
            <a:ln w="28575" cap="rnd">
              <a:solidFill>
                <a:schemeClr val="accent1"/>
              </a:solidFill>
              <a:round/>
            </a:ln>
            <a:effectLst/>
          </c:spPr>
          <c:marker>
            <c:symbol val="none"/>
          </c:marker>
          <c:cat>
            <c:strRef>
              <c:f>'ANEXO A'!$B$5:$B$18</c:f>
              <c:strCache>
                <c:ptCount val="14"/>
                <c:pt idx="0">
                  <c:v>POLÍTICAS DE SEGURIDAD DE LA INFORMACIÓN</c:v>
                </c:pt>
                <c:pt idx="1">
                  <c:v>ORGANIZACIÓN DE LA SEGURIDAD DE LA INFORMACIÓN</c:v>
                </c:pt>
                <c:pt idx="2">
                  <c:v>SEGURIDAD DE LOS RECURSOS HUMANOS</c:v>
                </c:pt>
                <c:pt idx="3">
                  <c:v>GESTIÓN DE ACTIVOS</c:v>
                </c:pt>
                <c:pt idx="4">
                  <c:v>CONTROL DE ACCESO</c:v>
                </c:pt>
                <c:pt idx="5">
                  <c:v>CRIPTOGRAFÍA</c:v>
                </c:pt>
                <c:pt idx="6">
                  <c:v>SEGURIDAD FÍSICA Y DEL ENTORNO</c:v>
                </c:pt>
                <c:pt idx="7">
                  <c:v>SEGURIDAD DE LAS OPERACIONES</c:v>
                </c:pt>
                <c:pt idx="8">
                  <c:v>SEGURIDAD DE LAS COMUNICACIONES</c:v>
                </c:pt>
                <c:pt idx="9">
                  <c:v>ADQUISICIÓN, DESARROLLO Y MANTENIEMIENTO DE SISTEMAS</c:v>
                </c:pt>
                <c:pt idx="10">
                  <c:v>RELACIONES CON LOS PROVEEDORES</c:v>
                </c:pt>
                <c:pt idx="11">
                  <c:v>GESTIÓN DE INCIDENTES DE SEGURIDAD DE LA INFORMACIÓN</c:v>
                </c:pt>
                <c:pt idx="12">
                  <c:v>ASPECTOS DE SEGURIDAD DE LA INFORMACIÓN DE LA GESTIÓN DE CONTINUIDAD DE NEGOCIO</c:v>
                </c:pt>
                <c:pt idx="13">
                  <c:v>CUMPLIMIENTO</c:v>
                </c:pt>
              </c:strCache>
            </c:strRef>
          </c:cat>
          <c:val>
            <c:numRef>
              <c:f>'ANEXO A'!$C$5:$C$18</c:f>
              <c:numCache>
                <c:formatCode>0%</c:formatCode>
                <c:ptCount val="14"/>
                <c:pt idx="0">
                  <c:v>1</c:v>
                </c:pt>
                <c:pt idx="1">
                  <c:v>0.65</c:v>
                </c:pt>
                <c:pt idx="2">
                  <c:v>0.67</c:v>
                </c:pt>
                <c:pt idx="3">
                  <c:v>0.37</c:v>
                </c:pt>
                <c:pt idx="4">
                  <c:v>0.6</c:v>
                </c:pt>
                <c:pt idx="5">
                  <c:v>0.2</c:v>
                </c:pt>
                <c:pt idx="6">
                  <c:v>0.8</c:v>
                </c:pt>
                <c:pt idx="7">
                  <c:v>0.79</c:v>
                </c:pt>
                <c:pt idx="8">
                  <c:v>0.85</c:v>
                </c:pt>
                <c:pt idx="9">
                  <c:v>0.87</c:v>
                </c:pt>
                <c:pt idx="10">
                  <c:v>0.8</c:v>
                </c:pt>
                <c:pt idx="11">
                  <c:v>0.4</c:v>
                </c:pt>
                <c:pt idx="12">
                  <c:v>0.7</c:v>
                </c:pt>
                <c:pt idx="13">
                  <c:v>0.73</c:v>
                </c:pt>
              </c:numCache>
            </c:numRef>
          </c:val>
          <c:extLst>
            <c:ext xmlns:c16="http://schemas.microsoft.com/office/drawing/2014/chart" uri="{C3380CC4-5D6E-409C-BE32-E72D297353CC}">
              <c16:uniqueId val="{00000000-C902-4188-BB89-2DEB26FB6254}"/>
            </c:ext>
          </c:extLst>
        </c:ser>
        <c:ser>
          <c:idx val="1"/>
          <c:order val="1"/>
          <c:tx>
            <c:strRef>
              <c:f>'ANEXO A'!$D$3:$D$4</c:f>
              <c:strCache>
                <c:ptCount val="2"/>
                <c:pt idx="0">
                  <c:v>Nivel de Madurez</c:v>
                </c:pt>
                <c:pt idx="1">
                  <c:v>Nivel Deseado</c:v>
                </c:pt>
              </c:strCache>
            </c:strRef>
          </c:tx>
          <c:spPr>
            <a:ln w="28575" cap="rnd">
              <a:solidFill>
                <a:schemeClr val="accent2"/>
              </a:solidFill>
              <a:round/>
            </a:ln>
            <a:effectLst/>
          </c:spPr>
          <c:marker>
            <c:symbol val="none"/>
          </c:marker>
          <c:cat>
            <c:strRef>
              <c:f>'ANEXO A'!$B$5:$B$18</c:f>
              <c:strCache>
                <c:ptCount val="14"/>
                <c:pt idx="0">
                  <c:v>POLÍTICAS DE SEGURIDAD DE LA INFORMACIÓN</c:v>
                </c:pt>
                <c:pt idx="1">
                  <c:v>ORGANIZACIÓN DE LA SEGURIDAD DE LA INFORMACIÓN</c:v>
                </c:pt>
                <c:pt idx="2">
                  <c:v>SEGURIDAD DE LOS RECURSOS HUMANOS</c:v>
                </c:pt>
                <c:pt idx="3">
                  <c:v>GESTIÓN DE ACTIVOS</c:v>
                </c:pt>
                <c:pt idx="4">
                  <c:v>CONTROL DE ACCESO</c:v>
                </c:pt>
                <c:pt idx="5">
                  <c:v>CRIPTOGRAFÍA</c:v>
                </c:pt>
                <c:pt idx="6">
                  <c:v>SEGURIDAD FÍSICA Y DEL ENTORNO</c:v>
                </c:pt>
                <c:pt idx="7">
                  <c:v>SEGURIDAD DE LAS OPERACIONES</c:v>
                </c:pt>
                <c:pt idx="8">
                  <c:v>SEGURIDAD DE LAS COMUNICACIONES</c:v>
                </c:pt>
                <c:pt idx="9">
                  <c:v>ADQUISICIÓN, DESARROLLO Y MANTENIEMIENTO DE SISTEMAS</c:v>
                </c:pt>
                <c:pt idx="10">
                  <c:v>RELACIONES CON LOS PROVEEDORES</c:v>
                </c:pt>
                <c:pt idx="11">
                  <c:v>GESTIÓN DE INCIDENTES DE SEGURIDAD DE LA INFORMACIÓN</c:v>
                </c:pt>
                <c:pt idx="12">
                  <c:v>ASPECTOS DE SEGURIDAD DE LA INFORMACIÓN DE LA GESTIÓN DE CONTINUIDAD DE NEGOCIO</c:v>
                </c:pt>
                <c:pt idx="13">
                  <c:v>CUMPLIMIENTO</c:v>
                </c:pt>
              </c:strCache>
            </c:strRef>
          </c:cat>
          <c:val>
            <c:numRef>
              <c:f>'ANEXO A'!$D$5:$D$18</c:f>
              <c:numCache>
                <c:formatCode>0%</c:formatCode>
                <c:ptCount val="14"/>
                <c:pt idx="0">
                  <c:v>1</c:v>
                </c:pt>
                <c:pt idx="1">
                  <c:v>1</c:v>
                </c:pt>
                <c:pt idx="2">
                  <c:v>1</c:v>
                </c:pt>
                <c:pt idx="3">
                  <c:v>1</c:v>
                </c:pt>
                <c:pt idx="4">
                  <c:v>1</c:v>
                </c:pt>
                <c:pt idx="5">
                  <c:v>1</c:v>
                </c:pt>
                <c:pt idx="6">
                  <c:v>1</c:v>
                </c:pt>
                <c:pt idx="7">
                  <c:v>1</c:v>
                </c:pt>
                <c:pt idx="8">
                  <c:v>1</c:v>
                </c:pt>
                <c:pt idx="9">
                  <c:v>1</c:v>
                </c:pt>
                <c:pt idx="10">
                  <c:v>1</c:v>
                </c:pt>
                <c:pt idx="11">
                  <c:v>1</c:v>
                </c:pt>
                <c:pt idx="12">
                  <c:v>1</c:v>
                </c:pt>
                <c:pt idx="13">
                  <c:v>1</c:v>
                </c:pt>
              </c:numCache>
            </c:numRef>
          </c:val>
          <c:extLst>
            <c:ext xmlns:c16="http://schemas.microsoft.com/office/drawing/2014/chart" uri="{C3380CC4-5D6E-409C-BE32-E72D297353CC}">
              <c16:uniqueId val="{00000001-C902-4188-BB89-2DEB26FB6254}"/>
            </c:ext>
          </c:extLst>
        </c:ser>
        <c:dLbls>
          <c:showLegendKey val="0"/>
          <c:showVal val="0"/>
          <c:showCatName val="0"/>
          <c:showSerName val="0"/>
          <c:showPercent val="0"/>
          <c:showBubbleSize val="0"/>
        </c:dLbls>
        <c:axId val="672892319"/>
        <c:axId val="668806767"/>
      </c:radarChart>
      <c:catAx>
        <c:axId val="672892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68806767"/>
        <c:crosses val="autoZero"/>
        <c:auto val="1"/>
        <c:lblAlgn val="ctr"/>
        <c:lblOffset val="100"/>
        <c:noMultiLvlLbl val="0"/>
      </c:catAx>
      <c:valAx>
        <c:axId val="6688067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728923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Cumplimiento de Requerimientos - SGSI</a:t>
            </a:r>
          </a:p>
        </c:rich>
      </c:tx>
      <c:layout>
        <c:manualLayout>
          <c:xMode val="edge"/>
          <c:yMode val="edge"/>
          <c:x val="0.182076334208224"/>
          <c:y val="5.211726384364821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'Reporte Clausulas'!$C$24</c:f>
              <c:strCache>
                <c:ptCount val="1"/>
                <c:pt idx="0">
                  <c:v>Implementado</c:v>
                </c:pt>
              </c:strCache>
            </c:strRef>
          </c:tx>
          <c:spPr>
            <a:solidFill>
              <a:srgbClr val="00B050"/>
            </a:solidFill>
            <a:ln>
              <a:noFill/>
            </a:ln>
            <a:effectLst/>
          </c:spPr>
          <c:invertIfNegative val="0"/>
          <c:cat>
            <c:strRef>
              <c:f>'Reporte Clausulas'!$B$25:$B$31</c:f>
              <c:strCache>
                <c:ptCount val="7"/>
                <c:pt idx="0">
                  <c:v>CONTEXTO DE LA ORGANIZACIÓN</c:v>
                </c:pt>
                <c:pt idx="1">
                  <c:v>LIDERAZGO</c:v>
                </c:pt>
                <c:pt idx="2">
                  <c:v>PLANIFICACIÓN</c:v>
                </c:pt>
                <c:pt idx="3">
                  <c:v>SOPORTE</c:v>
                </c:pt>
                <c:pt idx="4">
                  <c:v>OPERACIÓN</c:v>
                </c:pt>
                <c:pt idx="5">
                  <c:v>EVALUACIÓN DEL DESEMPEÑO</c:v>
                </c:pt>
                <c:pt idx="6">
                  <c:v>MEJORA</c:v>
                </c:pt>
              </c:strCache>
            </c:strRef>
          </c:cat>
          <c:val>
            <c:numRef>
              <c:f>'Reporte Clausulas'!$C$25:$C$31</c:f>
              <c:numCache>
                <c:formatCode>0</c:formatCode>
                <c:ptCount val="7"/>
                <c:pt idx="0">
                  <c:v>0</c:v>
                </c:pt>
                <c:pt idx="1">
                  <c:v>11</c:v>
                </c:pt>
                <c:pt idx="2">
                  <c:v>12</c:v>
                </c:pt>
                <c:pt idx="3">
                  <c:v>10</c:v>
                </c:pt>
                <c:pt idx="4">
                  <c:v>0</c:v>
                </c:pt>
                <c:pt idx="5">
                  <c:v>2</c:v>
                </c:pt>
                <c:pt idx="6">
                  <c:v>0</c:v>
                </c:pt>
              </c:numCache>
            </c:numRef>
          </c:val>
          <c:extLst>
            <c:ext xmlns:c16="http://schemas.microsoft.com/office/drawing/2014/chart" uri="{C3380CC4-5D6E-409C-BE32-E72D297353CC}">
              <c16:uniqueId val="{00000000-6F2B-40AE-8E45-389B745B9764}"/>
            </c:ext>
          </c:extLst>
        </c:ser>
        <c:ser>
          <c:idx val="1"/>
          <c:order val="1"/>
          <c:tx>
            <c:strRef>
              <c:f>'Reporte Clausulas'!$D$24</c:f>
              <c:strCache>
                <c:ptCount val="1"/>
                <c:pt idx="0">
                  <c:v>Parcial</c:v>
                </c:pt>
              </c:strCache>
            </c:strRef>
          </c:tx>
          <c:spPr>
            <a:solidFill>
              <a:srgbClr val="FF9933"/>
            </a:solidFill>
            <a:ln>
              <a:noFill/>
            </a:ln>
            <a:effectLst/>
          </c:spPr>
          <c:invertIfNegative val="0"/>
          <c:cat>
            <c:strRef>
              <c:f>'Reporte Clausulas'!$B$25:$B$31</c:f>
              <c:strCache>
                <c:ptCount val="7"/>
                <c:pt idx="0">
                  <c:v>CONTEXTO DE LA ORGANIZACIÓN</c:v>
                </c:pt>
                <c:pt idx="1">
                  <c:v>LIDERAZGO</c:v>
                </c:pt>
                <c:pt idx="2">
                  <c:v>PLANIFICACIÓN</c:v>
                </c:pt>
                <c:pt idx="3">
                  <c:v>SOPORTE</c:v>
                </c:pt>
                <c:pt idx="4">
                  <c:v>OPERACIÓN</c:v>
                </c:pt>
                <c:pt idx="5">
                  <c:v>EVALUACIÓN DEL DESEMPEÑO</c:v>
                </c:pt>
                <c:pt idx="6">
                  <c:v>MEJORA</c:v>
                </c:pt>
              </c:strCache>
            </c:strRef>
          </c:cat>
          <c:val>
            <c:numRef>
              <c:f>'Reporte Clausulas'!$D$25:$D$31</c:f>
              <c:numCache>
                <c:formatCode>0</c:formatCode>
                <c:ptCount val="7"/>
                <c:pt idx="0">
                  <c:v>7</c:v>
                </c:pt>
                <c:pt idx="1">
                  <c:v>6</c:v>
                </c:pt>
                <c:pt idx="2">
                  <c:v>2</c:v>
                </c:pt>
                <c:pt idx="3">
                  <c:v>5</c:v>
                </c:pt>
                <c:pt idx="4">
                  <c:v>0</c:v>
                </c:pt>
                <c:pt idx="5">
                  <c:v>0</c:v>
                </c:pt>
                <c:pt idx="6">
                  <c:v>0</c:v>
                </c:pt>
              </c:numCache>
            </c:numRef>
          </c:val>
          <c:extLst>
            <c:ext xmlns:c16="http://schemas.microsoft.com/office/drawing/2014/chart" uri="{C3380CC4-5D6E-409C-BE32-E72D297353CC}">
              <c16:uniqueId val="{00000001-6F2B-40AE-8E45-389B745B9764}"/>
            </c:ext>
          </c:extLst>
        </c:ser>
        <c:ser>
          <c:idx val="2"/>
          <c:order val="2"/>
          <c:tx>
            <c:strRef>
              <c:f>'Reporte Clausulas'!$E$24</c:f>
              <c:strCache>
                <c:ptCount val="1"/>
                <c:pt idx="0">
                  <c:v>No implementado</c:v>
                </c:pt>
              </c:strCache>
            </c:strRef>
          </c:tx>
          <c:spPr>
            <a:solidFill>
              <a:srgbClr val="CC0000"/>
            </a:solidFill>
            <a:ln>
              <a:noFill/>
            </a:ln>
            <a:effectLst/>
          </c:spPr>
          <c:invertIfNegative val="0"/>
          <c:cat>
            <c:strRef>
              <c:f>'Reporte Clausulas'!$B$25:$B$31</c:f>
              <c:strCache>
                <c:ptCount val="7"/>
                <c:pt idx="0">
                  <c:v>CONTEXTO DE LA ORGANIZACIÓN</c:v>
                </c:pt>
                <c:pt idx="1">
                  <c:v>LIDERAZGO</c:v>
                </c:pt>
                <c:pt idx="2">
                  <c:v>PLANIFICACIÓN</c:v>
                </c:pt>
                <c:pt idx="3">
                  <c:v>SOPORTE</c:v>
                </c:pt>
                <c:pt idx="4">
                  <c:v>OPERACIÓN</c:v>
                </c:pt>
                <c:pt idx="5">
                  <c:v>EVALUACIÓN DEL DESEMPEÑO</c:v>
                </c:pt>
                <c:pt idx="6">
                  <c:v>MEJORA</c:v>
                </c:pt>
              </c:strCache>
            </c:strRef>
          </c:cat>
          <c:val>
            <c:numRef>
              <c:f>'Reporte Clausulas'!$E$25:$E$31</c:f>
              <c:numCache>
                <c:formatCode>0</c:formatCode>
                <c:ptCount val="7"/>
                <c:pt idx="0">
                  <c:v>0</c:v>
                </c:pt>
                <c:pt idx="1">
                  <c:v>0</c:v>
                </c:pt>
                <c:pt idx="2">
                  <c:v>12</c:v>
                </c:pt>
                <c:pt idx="3">
                  <c:v>9</c:v>
                </c:pt>
                <c:pt idx="4">
                  <c:v>3</c:v>
                </c:pt>
                <c:pt idx="5">
                  <c:v>17</c:v>
                </c:pt>
                <c:pt idx="6">
                  <c:v>8</c:v>
                </c:pt>
              </c:numCache>
            </c:numRef>
          </c:val>
          <c:extLst>
            <c:ext xmlns:c16="http://schemas.microsoft.com/office/drawing/2014/chart" uri="{C3380CC4-5D6E-409C-BE32-E72D297353CC}">
              <c16:uniqueId val="{00000002-6F2B-40AE-8E45-389B745B9764}"/>
            </c:ext>
          </c:extLst>
        </c:ser>
        <c:dLbls>
          <c:showLegendKey val="0"/>
          <c:showVal val="0"/>
          <c:showCatName val="0"/>
          <c:showSerName val="0"/>
          <c:showPercent val="0"/>
          <c:showBubbleSize val="0"/>
        </c:dLbls>
        <c:gapWidth val="182"/>
        <c:axId val="296591880"/>
        <c:axId val="296592272"/>
      </c:barChart>
      <c:catAx>
        <c:axId val="2965918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6592272"/>
        <c:crosses val="autoZero"/>
        <c:auto val="1"/>
        <c:lblAlgn val="ctr"/>
        <c:lblOffset val="100"/>
        <c:noMultiLvlLbl val="0"/>
      </c:catAx>
      <c:valAx>
        <c:axId val="29659227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6591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tx>
            <c:strRef>
              <c:f>'Reporte Clausulas'!$C$39</c:f>
              <c:strCache>
                <c:ptCount val="1"/>
                <c:pt idx="0">
                  <c:v>Nivel Actual</c:v>
                </c:pt>
              </c:strCache>
            </c:strRef>
          </c:tx>
          <c:spPr>
            <a:ln w="28575" cap="rnd">
              <a:solidFill>
                <a:srgbClr val="FF0000"/>
              </a:solidFill>
              <a:round/>
            </a:ln>
            <a:effectLst/>
          </c:spPr>
          <c:marker>
            <c:symbol val="none"/>
          </c:marker>
          <c:cat>
            <c:strRef>
              <c:f>'Reporte Clausulas'!$B$40:$B$46</c:f>
              <c:strCache>
                <c:ptCount val="7"/>
                <c:pt idx="0">
                  <c:v>CONTEXTO DE LA ORGANIZACIÓN</c:v>
                </c:pt>
                <c:pt idx="1">
                  <c:v>LIDERAZGO</c:v>
                </c:pt>
                <c:pt idx="2">
                  <c:v>PLANIFICACIÓN</c:v>
                </c:pt>
                <c:pt idx="3">
                  <c:v>SOPORTE</c:v>
                </c:pt>
                <c:pt idx="4">
                  <c:v>OPERACIÓN</c:v>
                </c:pt>
                <c:pt idx="5">
                  <c:v>EVALUACIÓN DEL DESEMPEÑO</c:v>
                </c:pt>
                <c:pt idx="6">
                  <c:v>MEJORA</c:v>
                </c:pt>
              </c:strCache>
            </c:strRef>
          </c:cat>
          <c:val>
            <c:numRef>
              <c:f>'Reporte Clausulas'!$C$40:$C$46</c:f>
              <c:numCache>
                <c:formatCode>0%</c:formatCode>
                <c:ptCount val="7"/>
                <c:pt idx="0">
                  <c:v>0.30000000000000004</c:v>
                </c:pt>
                <c:pt idx="1">
                  <c:v>0.54047619047619044</c:v>
                </c:pt>
                <c:pt idx="2">
                  <c:v>0.33666666666666667</c:v>
                </c:pt>
                <c:pt idx="3">
                  <c:v>0.32666666666666666</c:v>
                </c:pt>
                <c:pt idx="4">
                  <c:v>0.13333333333333333</c:v>
                </c:pt>
                <c:pt idx="5">
                  <c:v>6.6666666666666666E-2</c:v>
                </c:pt>
                <c:pt idx="6">
                  <c:v>0</c:v>
                </c:pt>
              </c:numCache>
            </c:numRef>
          </c:val>
          <c:extLst>
            <c:ext xmlns:c16="http://schemas.microsoft.com/office/drawing/2014/chart" uri="{C3380CC4-5D6E-409C-BE32-E72D297353CC}">
              <c16:uniqueId val="{00000000-33BC-4D22-8852-18A7A032B9DA}"/>
            </c:ext>
          </c:extLst>
        </c:ser>
        <c:ser>
          <c:idx val="2"/>
          <c:order val="1"/>
          <c:tx>
            <c:strRef>
              <c:f>'Reporte Clausulas'!$D$39</c:f>
              <c:strCache>
                <c:ptCount val="1"/>
                <c:pt idx="0">
                  <c:v>Nivel Deseado</c:v>
                </c:pt>
              </c:strCache>
            </c:strRef>
          </c:tx>
          <c:spPr>
            <a:ln w="28575" cap="rnd">
              <a:solidFill>
                <a:schemeClr val="accent1"/>
              </a:solidFill>
              <a:round/>
            </a:ln>
            <a:effectLst/>
          </c:spPr>
          <c:marker>
            <c:symbol val="none"/>
          </c:marker>
          <c:cat>
            <c:strRef>
              <c:f>'Reporte Clausulas'!$B$40:$B$46</c:f>
              <c:strCache>
                <c:ptCount val="7"/>
                <c:pt idx="0">
                  <c:v>CONTEXTO DE LA ORGANIZACIÓN</c:v>
                </c:pt>
                <c:pt idx="1">
                  <c:v>LIDERAZGO</c:v>
                </c:pt>
                <c:pt idx="2">
                  <c:v>PLANIFICACIÓN</c:v>
                </c:pt>
                <c:pt idx="3">
                  <c:v>SOPORTE</c:v>
                </c:pt>
                <c:pt idx="4">
                  <c:v>OPERACIÓN</c:v>
                </c:pt>
                <c:pt idx="5">
                  <c:v>EVALUACIÓN DEL DESEMPEÑO</c:v>
                </c:pt>
                <c:pt idx="6">
                  <c:v>MEJORA</c:v>
                </c:pt>
              </c:strCache>
            </c:strRef>
          </c:cat>
          <c:val>
            <c:numRef>
              <c:f>'Reporte Clausulas'!$D$40:$D$46</c:f>
              <c:numCache>
                <c:formatCode>0%</c:formatCode>
                <c:ptCount val="7"/>
                <c:pt idx="0">
                  <c:v>1</c:v>
                </c:pt>
                <c:pt idx="1">
                  <c:v>1</c:v>
                </c:pt>
                <c:pt idx="2">
                  <c:v>1</c:v>
                </c:pt>
                <c:pt idx="3">
                  <c:v>1</c:v>
                </c:pt>
                <c:pt idx="4">
                  <c:v>1</c:v>
                </c:pt>
                <c:pt idx="5">
                  <c:v>1</c:v>
                </c:pt>
                <c:pt idx="6">
                  <c:v>1</c:v>
                </c:pt>
              </c:numCache>
            </c:numRef>
          </c:val>
          <c:extLst>
            <c:ext xmlns:c16="http://schemas.microsoft.com/office/drawing/2014/chart" uri="{C3380CC4-5D6E-409C-BE32-E72D297353CC}">
              <c16:uniqueId val="{00000001-33BC-4D22-8852-18A7A032B9DA}"/>
            </c:ext>
          </c:extLst>
        </c:ser>
        <c:dLbls>
          <c:showLegendKey val="0"/>
          <c:showVal val="0"/>
          <c:showCatName val="0"/>
          <c:showSerName val="0"/>
          <c:showPercent val="0"/>
          <c:showBubbleSize val="0"/>
        </c:dLbls>
        <c:axId val="296595016"/>
        <c:axId val="296596192"/>
      </c:radarChart>
      <c:catAx>
        <c:axId val="296595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6596192"/>
        <c:crosses val="autoZero"/>
        <c:auto val="1"/>
        <c:lblAlgn val="ctr"/>
        <c:lblOffset val="100"/>
        <c:noMultiLvlLbl val="0"/>
      </c:catAx>
      <c:valAx>
        <c:axId val="296596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6595016"/>
        <c:crosses val="autoZero"/>
        <c:crossBetween val="between"/>
      </c:valAx>
      <c:spPr>
        <a:noFill/>
        <a:ln>
          <a:noFill/>
        </a:ln>
        <a:effectLst/>
      </c:spPr>
    </c:plotArea>
    <c:legend>
      <c:legendPos val="t"/>
      <c:layout>
        <c:manualLayout>
          <c:xMode val="edge"/>
          <c:yMode val="edge"/>
          <c:x val="2.8773333440443964E-2"/>
          <c:y val="0.76029940125058204"/>
          <c:w val="0.19487173662861054"/>
          <c:h val="0.201779409071512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51797651532977"/>
          <c:y val="0.14342782152230971"/>
          <c:w val="0.58989585056296978"/>
          <c:h val="0.81295267636999924"/>
        </c:manualLayout>
      </c:layout>
      <c:radarChart>
        <c:radarStyle val="marker"/>
        <c:varyColors val="0"/>
        <c:ser>
          <c:idx val="0"/>
          <c:order val="0"/>
          <c:tx>
            <c:v>Nivel Actual</c:v>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Hoja3!$F$4:$F$10</c:f>
              <c:strCache>
                <c:ptCount val="7"/>
                <c:pt idx="0">
                  <c:v>CONTEXTO DE LA ORGANIZACIÓN</c:v>
                </c:pt>
                <c:pt idx="1">
                  <c:v>LIDERAZGO</c:v>
                </c:pt>
                <c:pt idx="2">
                  <c:v>PLANIFICACIÓN</c:v>
                </c:pt>
                <c:pt idx="3">
                  <c:v>SOPORTE</c:v>
                </c:pt>
                <c:pt idx="4">
                  <c:v>OPERACIÓN</c:v>
                </c:pt>
                <c:pt idx="5">
                  <c:v>EVALUACIÓN DEL DESEMPEÑO</c:v>
                </c:pt>
                <c:pt idx="6">
                  <c:v>MEJORA</c:v>
                </c:pt>
              </c:strCache>
            </c:strRef>
          </c:cat>
          <c:val>
            <c:numRef>
              <c:f>Hoja3!$G$4:$G$10</c:f>
              <c:numCache>
                <c:formatCode>0%</c:formatCode>
                <c:ptCount val="7"/>
                <c:pt idx="0">
                  <c:v>0.43</c:v>
                </c:pt>
                <c:pt idx="1">
                  <c:v>0.76</c:v>
                </c:pt>
                <c:pt idx="2">
                  <c:v>0.7</c:v>
                </c:pt>
                <c:pt idx="3">
                  <c:v>0.46</c:v>
                </c:pt>
                <c:pt idx="4">
                  <c:v>0.47</c:v>
                </c:pt>
                <c:pt idx="5">
                  <c:v>0.23</c:v>
                </c:pt>
                <c:pt idx="6">
                  <c:v>0</c:v>
                </c:pt>
              </c:numCache>
            </c:numRef>
          </c:val>
          <c:extLst>
            <c:ext xmlns:c16="http://schemas.microsoft.com/office/drawing/2014/chart" uri="{C3380CC4-5D6E-409C-BE32-E72D297353CC}">
              <c16:uniqueId val="{00000000-B5C6-4E85-919D-2870298E228D}"/>
            </c:ext>
          </c:extLst>
        </c:ser>
        <c:ser>
          <c:idx val="1"/>
          <c:order val="1"/>
          <c:tx>
            <c:v>Nivel deseado</c:v>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Hoja3!$F$4:$F$10</c:f>
              <c:strCache>
                <c:ptCount val="7"/>
                <c:pt idx="0">
                  <c:v>CONTEXTO DE LA ORGANIZACIÓN</c:v>
                </c:pt>
                <c:pt idx="1">
                  <c:v>LIDERAZGO</c:v>
                </c:pt>
                <c:pt idx="2">
                  <c:v>PLANIFICACIÓN</c:v>
                </c:pt>
                <c:pt idx="3">
                  <c:v>SOPORTE</c:v>
                </c:pt>
                <c:pt idx="4">
                  <c:v>OPERACIÓN</c:v>
                </c:pt>
                <c:pt idx="5">
                  <c:v>EVALUACIÓN DEL DESEMPEÑO</c:v>
                </c:pt>
                <c:pt idx="6">
                  <c:v>MEJORA</c:v>
                </c:pt>
              </c:strCache>
            </c:strRef>
          </c:cat>
          <c:val>
            <c:numRef>
              <c:f>Hoja3!$H$4:$H$10</c:f>
              <c:numCache>
                <c:formatCode>0%</c:formatCode>
                <c:ptCount val="7"/>
                <c:pt idx="0">
                  <c:v>1</c:v>
                </c:pt>
                <c:pt idx="1">
                  <c:v>1</c:v>
                </c:pt>
                <c:pt idx="2">
                  <c:v>1</c:v>
                </c:pt>
                <c:pt idx="3">
                  <c:v>1</c:v>
                </c:pt>
                <c:pt idx="4">
                  <c:v>1</c:v>
                </c:pt>
                <c:pt idx="5">
                  <c:v>1</c:v>
                </c:pt>
                <c:pt idx="6">
                  <c:v>1</c:v>
                </c:pt>
              </c:numCache>
            </c:numRef>
          </c:val>
          <c:extLst>
            <c:ext xmlns:c16="http://schemas.microsoft.com/office/drawing/2014/chart" uri="{C3380CC4-5D6E-409C-BE32-E72D297353CC}">
              <c16:uniqueId val="{00000001-B5C6-4E85-919D-2870298E228D}"/>
            </c:ext>
          </c:extLst>
        </c:ser>
        <c:dLbls>
          <c:showLegendKey val="0"/>
          <c:showVal val="0"/>
          <c:showCatName val="0"/>
          <c:showSerName val="0"/>
          <c:showPercent val="0"/>
          <c:showBubbleSize val="0"/>
        </c:dLbls>
        <c:axId val="396534111"/>
        <c:axId val="399917519"/>
      </c:radarChart>
      <c:catAx>
        <c:axId val="39653411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99917519"/>
        <c:crosses val="autoZero"/>
        <c:auto val="1"/>
        <c:lblAlgn val="ctr"/>
        <c:lblOffset val="100"/>
        <c:noMultiLvlLbl val="0"/>
      </c:catAx>
      <c:valAx>
        <c:axId val="3999175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9653411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Cumplimiento Anexo A - ISO27001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27756167979002627"/>
          <c:y val="0.15060002916302132"/>
          <c:w val="0.48376574803149608"/>
          <c:h val="0.80627624671916009"/>
        </c:manualLayout>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547A-4A60-99AD-DC3E378AF8DA}"/>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547A-4A60-99AD-DC3E378AF8DA}"/>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547A-4A60-99AD-DC3E378AF8DA}"/>
              </c:ext>
            </c:extLst>
          </c:dPt>
          <c:dLbls>
            <c:dLbl>
              <c:idx val="1"/>
              <c:spPr>
                <a:solidFill>
                  <a:schemeClr val="tx1"/>
                </a:solidFill>
                <a:ln w="25400" cap="flat" cmpd="sng" algn="ctr">
                  <a:solidFill>
                    <a:schemeClr val="dk1">
                      <a:shade val="50000"/>
                    </a:schemeClr>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1"/>
              <c:showBubbleSize val="0"/>
              <c:extLst>
                <c:ext xmlns:c16="http://schemas.microsoft.com/office/drawing/2014/chart" uri="{C3380CC4-5D6E-409C-BE32-E72D297353CC}">
                  <c16:uniqueId val="{00000003-547A-4A60-99AD-DC3E378AF8DA}"/>
                </c:ext>
              </c:extLst>
            </c:dLbl>
            <c:dLbl>
              <c:idx val="2"/>
              <c:spPr>
                <a:solidFill>
                  <a:schemeClr val="tx1"/>
                </a:solid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bg1"/>
                      </a:solidFill>
                      <a:latin typeface="+mn-lt"/>
                      <a:ea typeface="+mn-ea"/>
                      <a:cs typeface="+mn-cs"/>
                    </a:defRPr>
                  </a:pPr>
                  <a:endParaRPr lang="es-CO"/>
                </a:p>
              </c:txPr>
              <c:showLegendKey val="0"/>
              <c:showVal val="1"/>
              <c:showCatName val="0"/>
              <c:showSerName val="0"/>
              <c:showPercent val="1"/>
              <c:showBubbleSize val="0"/>
              <c:extLst>
                <c:ext xmlns:c16="http://schemas.microsoft.com/office/drawing/2014/chart" uri="{C3380CC4-5D6E-409C-BE32-E72D297353CC}">
                  <c16:uniqueId val="{00000005-547A-4A60-99AD-DC3E378AF8DA}"/>
                </c:ext>
              </c:extLst>
            </c:dLbl>
            <c:spPr>
              <a:solidFill>
                <a:schemeClr val="tx1"/>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'Reporte AnexoA'!$B$9:$B$11</c:f>
              <c:strCache>
                <c:ptCount val="3"/>
                <c:pt idx="0">
                  <c:v>SI</c:v>
                </c:pt>
                <c:pt idx="1">
                  <c:v>PARCIAL</c:v>
                </c:pt>
                <c:pt idx="2">
                  <c:v>NO</c:v>
                </c:pt>
              </c:strCache>
            </c:strRef>
          </c:cat>
          <c:val>
            <c:numRef>
              <c:f>'Reporte AnexoA'!$C$9:$C$11</c:f>
              <c:numCache>
                <c:formatCode>General</c:formatCode>
                <c:ptCount val="3"/>
                <c:pt idx="0">
                  <c:v>26</c:v>
                </c:pt>
                <c:pt idx="1">
                  <c:v>61</c:v>
                </c:pt>
                <c:pt idx="2">
                  <c:v>17</c:v>
                </c:pt>
              </c:numCache>
            </c:numRef>
          </c:val>
          <c:extLst>
            <c:ext xmlns:c16="http://schemas.microsoft.com/office/drawing/2014/chart" uri="{C3380CC4-5D6E-409C-BE32-E72D297353CC}">
              <c16:uniqueId val="{00000006-547A-4A60-99AD-DC3E378AF8D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9948097112860894"/>
          <c:y val="0.6116892680081657"/>
          <c:w val="0.16492672790901136"/>
          <c:h val="0.281829250510352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a:t>Cumplimiento Ane A</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74C-43C8-B2FF-C90A4C25D09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74C-43C8-B2FF-C90A4C25D09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74C-43C8-B2FF-C90A4C25D09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74C-43C8-B2FF-C90A4C25D09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74C-43C8-B2FF-C90A4C25D091}"/>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274C-43C8-B2FF-C90A4C25D091}"/>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274C-43C8-B2FF-C90A4C25D09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274C-43C8-B2FF-C90A4C25D09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274C-43C8-B2FF-C90A4C25D09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5-274C-43C8-B2FF-C90A4C25D09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7-274C-43C8-B2FF-C90A4C25D09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9-274C-43C8-B2FF-C90A4C25D091}"/>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B-274C-43C8-B2FF-C90A4C25D091}"/>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D-274C-43C8-B2FF-C90A4C25D09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Hoja3!$F$4:$F$10</c:f>
              <c:strCache>
                <c:ptCount val="7"/>
                <c:pt idx="0">
                  <c:v>CONTEXTO DE LA ORGANIZACIÓN</c:v>
                </c:pt>
                <c:pt idx="1">
                  <c:v>LIDERAZGO</c:v>
                </c:pt>
                <c:pt idx="2">
                  <c:v>PLANIFICACIÓN</c:v>
                </c:pt>
                <c:pt idx="3">
                  <c:v>SOPORTE</c:v>
                </c:pt>
                <c:pt idx="4">
                  <c:v>OPERACIÓN</c:v>
                </c:pt>
                <c:pt idx="5">
                  <c:v>EVALUACIÓN DEL DESEMPEÑO</c:v>
                </c:pt>
                <c:pt idx="6">
                  <c:v>MEJORA</c:v>
                </c:pt>
              </c:strCache>
            </c:strRef>
          </c:cat>
          <c:val>
            <c:numRef>
              <c:f>Hoja3!$G$4:$G$10</c:f>
              <c:numCache>
                <c:formatCode>0%</c:formatCode>
                <c:ptCount val="7"/>
                <c:pt idx="0">
                  <c:v>0.43</c:v>
                </c:pt>
                <c:pt idx="1">
                  <c:v>0.76</c:v>
                </c:pt>
                <c:pt idx="2">
                  <c:v>0.7</c:v>
                </c:pt>
                <c:pt idx="3">
                  <c:v>0.46</c:v>
                </c:pt>
                <c:pt idx="4">
                  <c:v>0.47</c:v>
                </c:pt>
                <c:pt idx="5">
                  <c:v>0.23</c:v>
                </c:pt>
                <c:pt idx="6">
                  <c:v>0</c:v>
                </c:pt>
              </c:numCache>
            </c:numRef>
          </c:val>
          <c:extLst>
            <c:ext xmlns:c16="http://schemas.microsoft.com/office/drawing/2014/chart" uri="{C3380CC4-5D6E-409C-BE32-E72D297353CC}">
              <c16:uniqueId val="{0000000E-274C-43C8-B2FF-C90A4C25D091}"/>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Cumplimiento de Requerimientos - SGSI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'Reporte AnexoA'!$C$25</c:f>
              <c:strCache>
                <c:ptCount val="1"/>
                <c:pt idx="0">
                  <c:v>Implementado</c:v>
                </c:pt>
              </c:strCache>
            </c:strRef>
          </c:tx>
          <c:spPr>
            <a:solidFill>
              <a:srgbClr val="008000"/>
            </a:solidFill>
            <a:ln>
              <a:noFill/>
            </a:ln>
            <a:effectLst/>
          </c:spPr>
          <c:invertIfNegative val="0"/>
          <c:cat>
            <c:strRef>
              <c:f>'Reporte AnexoA'!$B$26:$B$39</c:f>
              <c:strCache>
                <c:ptCount val="14"/>
                <c:pt idx="0">
                  <c:v>POLÍTICAS DE SEGURIDAD DE LA INFORMACIÓN</c:v>
                </c:pt>
                <c:pt idx="1">
                  <c:v>ORGANIZACIÓN DE LA SEGURIDAD DE LA INFORMACIÓN</c:v>
                </c:pt>
                <c:pt idx="2">
                  <c:v>SEGURIDAD DE LOS RECURSOS HUMANOS</c:v>
                </c:pt>
                <c:pt idx="3">
                  <c:v>GESTIÓN DE ACTIVOS</c:v>
                </c:pt>
                <c:pt idx="4">
                  <c:v>CONTROL DE ACCESO</c:v>
                </c:pt>
                <c:pt idx="5">
                  <c:v>CRIPTOGRAFÍA</c:v>
                </c:pt>
                <c:pt idx="6">
                  <c:v>SEGURIDAD FÍSICA Y DEL ENTORNO</c:v>
                </c:pt>
                <c:pt idx="7">
                  <c:v>SEGURIDAD DE LAS OPERACIONES</c:v>
                </c:pt>
                <c:pt idx="8">
                  <c:v>SEGURIDAD DE LAS COMUNICACIONES</c:v>
                </c:pt>
                <c:pt idx="9">
                  <c:v>ADQUISICIÓN, DESARROLLO Y MANTENIEMIENTO DE SISTEMAS</c:v>
                </c:pt>
                <c:pt idx="10">
                  <c:v>RELACIONES CON LOS PROVEEDORES</c:v>
                </c:pt>
                <c:pt idx="11">
                  <c:v>GESTIÓN DE INCIDENTES DE SEGURIDAD DE LA INFORMACIÓN</c:v>
                </c:pt>
                <c:pt idx="12">
                  <c:v>ASPECTOS DE SEGURIDAD DE LA INFORMACIÓN DE LA GESTIÓN DE CONTINUIDAD DE NEGOCIO</c:v>
                </c:pt>
                <c:pt idx="13">
                  <c:v>CUMPLIMIENTO</c:v>
                </c:pt>
              </c:strCache>
            </c:strRef>
          </c:cat>
          <c:val>
            <c:numRef>
              <c:f>'Reporte AnexoA'!$C$26:$C$39</c:f>
              <c:numCache>
                <c:formatCode>0</c:formatCode>
                <c:ptCount val="14"/>
                <c:pt idx="0">
                  <c:v>2</c:v>
                </c:pt>
                <c:pt idx="1">
                  <c:v>3</c:v>
                </c:pt>
                <c:pt idx="2">
                  <c:v>3</c:v>
                </c:pt>
                <c:pt idx="3">
                  <c:v>1</c:v>
                </c:pt>
                <c:pt idx="4">
                  <c:v>2</c:v>
                </c:pt>
                <c:pt idx="5">
                  <c:v>0</c:v>
                </c:pt>
                <c:pt idx="6">
                  <c:v>4</c:v>
                </c:pt>
                <c:pt idx="7">
                  <c:v>6</c:v>
                </c:pt>
                <c:pt idx="8" formatCode="General">
                  <c:v>2</c:v>
                </c:pt>
                <c:pt idx="9" formatCode="General">
                  <c:v>0</c:v>
                </c:pt>
                <c:pt idx="10" formatCode="General">
                  <c:v>0</c:v>
                </c:pt>
                <c:pt idx="11" formatCode="General">
                  <c:v>0</c:v>
                </c:pt>
                <c:pt idx="12" formatCode="General">
                  <c:v>0</c:v>
                </c:pt>
                <c:pt idx="13" formatCode="General">
                  <c:v>4</c:v>
                </c:pt>
              </c:numCache>
            </c:numRef>
          </c:val>
          <c:extLst>
            <c:ext xmlns:c16="http://schemas.microsoft.com/office/drawing/2014/chart" uri="{C3380CC4-5D6E-409C-BE32-E72D297353CC}">
              <c16:uniqueId val="{00000000-D2D5-430C-8CE3-234ED2A6AE94}"/>
            </c:ext>
          </c:extLst>
        </c:ser>
        <c:ser>
          <c:idx val="1"/>
          <c:order val="1"/>
          <c:tx>
            <c:strRef>
              <c:f>'Reporte AnexoA'!$D$25</c:f>
              <c:strCache>
                <c:ptCount val="1"/>
                <c:pt idx="0">
                  <c:v>Parcial</c:v>
                </c:pt>
              </c:strCache>
            </c:strRef>
          </c:tx>
          <c:spPr>
            <a:solidFill>
              <a:srgbClr val="FF9933"/>
            </a:solidFill>
            <a:ln>
              <a:noFill/>
            </a:ln>
            <a:effectLst/>
          </c:spPr>
          <c:invertIfNegative val="0"/>
          <c:cat>
            <c:strRef>
              <c:f>'Reporte AnexoA'!$B$26:$B$39</c:f>
              <c:strCache>
                <c:ptCount val="14"/>
                <c:pt idx="0">
                  <c:v>POLÍTICAS DE SEGURIDAD DE LA INFORMACIÓN</c:v>
                </c:pt>
                <c:pt idx="1">
                  <c:v>ORGANIZACIÓN DE LA SEGURIDAD DE LA INFORMACIÓN</c:v>
                </c:pt>
                <c:pt idx="2">
                  <c:v>SEGURIDAD DE LOS RECURSOS HUMANOS</c:v>
                </c:pt>
                <c:pt idx="3">
                  <c:v>GESTIÓN DE ACTIVOS</c:v>
                </c:pt>
                <c:pt idx="4">
                  <c:v>CONTROL DE ACCESO</c:v>
                </c:pt>
                <c:pt idx="5">
                  <c:v>CRIPTOGRAFÍA</c:v>
                </c:pt>
                <c:pt idx="6">
                  <c:v>SEGURIDAD FÍSICA Y DEL ENTORNO</c:v>
                </c:pt>
                <c:pt idx="7">
                  <c:v>SEGURIDAD DE LAS OPERACIONES</c:v>
                </c:pt>
                <c:pt idx="8">
                  <c:v>SEGURIDAD DE LAS COMUNICACIONES</c:v>
                </c:pt>
                <c:pt idx="9">
                  <c:v>ADQUISICIÓN, DESARROLLO Y MANTENIEMIENTO DE SISTEMAS</c:v>
                </c:pt>
                <c:pt idx="10">
                  <c:v>RELACIONES CON LOS PROVEEDORES</c:v>
                </c:pt>
                <c:pt idx="11">
                  <c:v>GESTIÓN DE INCIDENTES DE SEGURIDAD DE LA INFORMACIÓN</c:v>
                </c:pt>
                <c:pt idx="12">
                  <c:v>ASPECTOS DE SEGURIDAD DE LA INFORMACIÓN DE LA GESTIÓN DE CONTINUIDAD DE NEGOCIO</c:v>
                </c:pt>
                <c:pt idx="13">
                  <c:v>CUMPLIMIENTO</c:v>
                </c:pt>
              </c:strCache>
            </c:strRef>
          </c:cat>
          <c:val>
            <c:numRef>
              <c:f>'Reporte AnexoA'!$D$26:$D$39</c:f>
              <c:numCache>
                <c:formatCode>0</c:formatCode>
                <c:ptCount val="14"/>
                <c:pt idx="0">
                  <c:v>0</c:v>
                </c:pt>
                <c:pt idx="1">
                  <c:v>3</c:v>
                </c:pt>
                <c:pt idx="2">
                  <c:v>1</c:v>
                </c:pt>
                <c:pt idx="3">
                  <c:v>6</c:v>
                </c:pt>
                <c:pt idx="4">
                  <c:v>10</c:v>
                </c:pt>
                <c:pt idx="5">
                  <c:v>1</c:v>
                </c:pt>
                <c:pt idx="6">
                  <c:v>11</c:v>
                </c:pt>
                <c:pt idx="7">
                  <c:v>8</c:v>
                </c:pt>
                <c:pt idx="8" formatCode="General">
                  <c:v>5</c:v>
                </c:pt>
                <c:pt idx="9" formatCode="General">
                  <c:v>5</c:v>
                </c:pt>
                <c:pt idx="10" formatCode="General">
                  <c:v>3</c:v>
                </c:pt>
                <c:pt idx="11" formatCode="General">
                  <c:v>7</c:v>
                </c:pt>
                <c:pt idx="12" formatCode="General">
                  <c:v>4</c:v>
                </c:pt>
                <c:pt idx="13" formatCode="General">
                  <c:v>3</c:v>
                </c:pt>
              </c:numCache>
            </c:numRef>
          </c:val>
          <c:extLst>
            <c:ext xmlns:c16="http://schemas.microsoft.com/office/drawing/2014/chart" uri="{C3380CC4-5D6E-409C-BE32-E72D297353CC}">
              <c16:uniqueId val="{00000001-D2D5-430C-8CE3-234ED2A6AE94}"/>
            </c:ext>
          </c:extLst>
        </c:ser>
        <c:ser>
          <c:idx val="2"/>
          <c:order val="2"/>
          <c:tx>
            <c:strRef>
              <c:f>'Reporte AnexoA'!$E$25</c:f>
              <c:strCache>
                <c:ptCount val="1"/>
                <c:pt idx="0">
                  <c:v>No implementado</c:v>
                </c:pt>
              </c:strCache>
            </c:strRef>
          </c:tx>
          <c:spPr>
            <a:solidFill>
              <a:srgbClr val="CC0000"/>
            </a:solidFill>
            <a:ln>
              <a:noFill/>
            </a:ln>
            <a:effectLst/>
          </c:spPr>
          <c:invertIfNegative val="0"/>
          <c:cat>
            <c:strRef>
              <c:f>'Reporte AnexoA'!$B$26:$B$39</c:f>
              <c:strCache>
                <c:ptCount val="14"/>
                <c:pt idx="0">
                  <c:v>POLÍTICAS DE SEGURIDAD DE LA INFORMACIÓN</c:v>
                </c:pt>
                <c:pt idx="1">
                  <c:v>ORGANIZACIÓN DE LA SEGURIDAD DE LA INFORMACIÓN</c:v>
                </c:pt>
                <c:pt idx="2">
                  <c:v>SEGURIDAD DE LOS RECURSOS HUMANOS</c:v>
                </c:pt>
                <c:pt idx="3">
                  <c:v>GESTIÓN DE ACTIVOS</c:v>
                </c:pt>
                <c:pt idx="4">
                  <c:v>CONTROL DE ACCESO</c:v>
                </c:pt>
                <c:pt idx="5">
                  <c:v>CRIPTOGRAFÍA</c:v>
                </c:pt>
                <c:pt idx="6">
                  <c:v>SEGURIDAD FÍSICA Y DEL ENTORNO</c:v>
                </c:pt>
                <c:pt idx="7">
                  <c:v>SEGURIDAD DE LAS OPERACIONES</c:v>
                </c:pt>
                <c:pt idx="8">
                  <c:v>SEGURIDAD DE LAS COMUNICACIONES</c:v>
                </c:pt>
                <c:pt idx="9">
                  <c:v>ADQUISICIÓN, DESARROLLO Y MANTENIEMIENTO DE SISTEMAS</c:v>
                </c:pt>
                <c:pt idx="10">
                  <c:v>RELACIONES CON LOS PROVEEDORES</c:v>
                </c:pt>
                <c:pt idx="11">
                  <c:v>GESTIÓN DE INCIDENTES DE SEGURIDAD DE LA INFORMACIÓN</c:v>
                </c:pt>
                <c:pt idx="12">
                  <c:v>ASPECTOS DE SEGURIDAD DE LA INFORMACIÓN DE LA GESTIÓN DE CONTINUIDAD DE NEGOCIO</c:v>
                </c:pt>
                <c:pt idx="13">
                  <c:v>CUMPLIMIENTO</c:v>
                </c:pt>
              </c:strCache>
            </c:strRef>
          </c:cat>
          <c:val>
            <c:numRef>
              <c:f>'Reporte AnexoA'!$E$26:$E$39</c:f>
              <c:numCache>
                <c:formatCode>0</c:formatCode>
                <c:ptCount val="14"/>
                <c:pt idx="0">
                  <c:v>0</c:v>
                </c:pt>
                <c:pt idx="1">
                  <c:v>1</c:v>
                </c:pt>
                <c:pt idx="2">
                  <c:v>2</c:v>
                </c:pt>
                <c:pt idx="3">
                  <c:v>3</c:v>
                </c:pt>
                <c:pt idx="4">
                  <c:v>2</c:v>
                </c:pt>
                <c:pt idx="5">
                  <c:v>1</c:v>
                </c:pt>
                <c:pt idx="6">
                  <c:v>0</c:v>
                </c:pt>
                <c:pt idx="7">
                  <c:v>0</c:v>
                </c:pt>
                <c:pt idx="8" formatCode="General">
                  <c:v>0</c:v>
                </c:pt>
                <c:pt idx="9" formatCode="General">
                  <c:v>8</c:v>
                </c:pt>
                <c:pt idx="10" formatCode="General">
                  <c:v>2</c:v>
                </c:pt>
                <c:pt idx="11" formatCode="General">
                  <c:v>0</c:v>
                </c:pt>
                <c:pt idx="12" formatCode="General">
                  <c:v>0</c:v>
                </c:pt>
                <c:pt idx="13" formatCode="General">
                  <c:v>1</c:v>
                </c:pt>
              </c:numCache>
            </c:numRef>
          </c:val>
          <c:extLst>
            <c:ext xmlns:c16="http://schemas.microsoft.com/office/drawing/2014/chart" uri="{C3380CC4-5D6E-409C-BE32-E72D297353CC}">
              <c16:uniqueId val="{00000002-D2D5-430C-8CE3-234ED2A6AE94}"/>
            </c:ext>
          </c:extLst>
        </c:ser>
        <c:dLbls>
          <c:showLegendKey val="0"/>
          <c:showVal val="0"/>
          <c:showCatName val="0"/>
          <c:showSerName val="0"/>
          <c:showPercent val="0"/>
          <c:showBubbleSize val="0"/>
        </c:dLbls>
        <c:gapWidth val="182"/>
        <c:axId val="299329160"/>
        <c:axId val="299329552"/>
      </c:barChart>
      <c:catAx>
        <c:axId val="2993291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9329552"/>
        <c:crosses val="autoZero"/>
        <c:auto val="1"/>
        <c:lblAlgn val="ctr"/>
        <c:lblOffset val="100"/>
        <c:noMultiLvlLbl val="0"/>
      </c:catAx>
      <c:valAx>
        <c:axId val="29932955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9329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Nivel de Madurez </a:t>
            </a:r>
            <a:r>
              <a:rPr lang="es-CO" baseline="0"/>
              <a:t>de los Objetivos de Control </a:t>
            </a:r>
            <a:r>
              <a:rPr lang="es-CO"/>
              <a:t>del Anexo A - ISO/IEC 27001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29124402402288435"/>
          <c:y val="0.19310298608758189"/>
          <c:w val="0.43563022398080653"/>
          <c:h val="0.68947481881986883"/>
        </c:manualLayout>
      </c:layout>
      <c:radarChart>
        <c:radarStyle val="marker"/>
        <c:varyColors val="0"/>
        <c:ser>
          <c:idx val="0"/>
          <c:order val="0"/>
          <c:tx>
            <c:strRef>
              <c:f>'Reporte AnexoA'!$C$45</c:f>
              <c:strCache>
                <c:ptCount val="1"/>
                <c:pt idx="0">
                  <c:v>Nivel Actual</c:v>
                </c:pt>
              </c:strCache>
            </c:strRef>
          </c:tx>
          <c:spPr>
            <a:ln w="28575" cap="rnd">
              <a:solidFill>
                <a:schemeClr val="accent1"/>
              </a:solidFill>
              <a:round/>
            </a:ln>
            <a:effectLst/>
          </c:spPr>
          <c:marker>
            <c:symbol val="none"/>
          </c:marker>
          <c:cat>
            <c:strRef>
              <c:f>'Reporte AnexoA'!$B$46:$B$59</c:f>
              <c:strCache>
                <c:ptCount val="14"/>
                <c:pt idx="0">
                  <c:v>POLÍTICAS DE SEGURIDAD DE LA INFORMACIÓN</c:v>
                </c:pt>
                <c:pt idx="1">
                  <c:v>ORGANIZACIÓN DE LA SEGURIDAD DE LA INFORMACIÓN</c:v>
                </c:pt>
                <c:pt idx="2">
                  <c:v>SEGURIDAD DE LOS RECURSOS HUMANOS</c:v>
                </c:pt>
                <c:pt idx="3">
                  <c:v>GESTIÓN DE ACTIVOS</c:v>
                </c:pt>
                <c:pt idx="4">
                  <c:v>CONTROL DE ACCESO</c:v>
                </c:pt>
                <c:pt idx="5">
                  <c:v>CRIPTOGRAFÍA</c:v>
                </c:pt>
                <c:pt idx="6">
                  <c:v>SEGURIDAD FÍSICA Y DEL ENTORNO</c:v>
                </c:pt>
                <c:pt idx="7">
                  <c:v>SEGURIDAD DE LAS OPERACIONES</c:v>
                </c:pt>
                <c:pt idx="8">
                  <c:v>SEGURIDAD DE LAS COMUNICACIONES</c:v>
                </c:pt>
                <c:pt idx="9">
                  <c:v>ADQUISICIÓN, DESARROLLO Y MANTENIEMIENTO DE SISTEMAS</c:v>
                </c:pt>
                <c:pt idx="10">
                  <c:v>RELACIONES CON LOS PROVEEDORES</c:v>
                </c:pt>
                <c:pt idx="11">
                  <c:v>GESTIÓN DE INCIDENTES DE SEGURIDAD DE LA INFORMACIÓN</c:v>
                </c:pt>
                <c:pt idx="12">
                  <c:v>ASPECTOS DE SEGURIDAD DE LA INFORMACIÓN DE LA GESTIÓN DE CONTINUIDAD DE NEGOCIO</c:v>
                </c:pt>
                <c:pt idx="13">
                  <c:v>CUMPLIMIENTO</c:v>
                </c:pt>
              </c:strCache>
            </c:strRef>
          </c:cat>
          <c:val>
            <c:numRef>
              <c:f>'Reporte AnexoA'!$C$46:$C$59</c:f>
              <c:numCache>
                <c:formatCode>0%</c:formatCode>
                <c:ptCount val="14"/>
                <c:pt idx="0">
                  <c:v>0.8</c:v>
                </c:pt>
                <c:pt idx="1">
                  <c:v>0.32000000000000006</c:v>
                </c:pt>
                <c:pt idx="2">
                  <c:v>0.55555555555555547</c:v>
                </c:pt>
                <c:pt idx="3">
                  <c:v>0.31666666666666665</c:v>
                </c:pt>
                <c:pt idx="4">
                  <c:v>0.59500000000000008</c:v>
                </c:pt>
                <c:pt idx="5">
                  <c:v>0.2</c:v>
                </c:pt>
                <c:pt idx="6">
                  <c:v>0.58888888888888891</c:v>
                </c:pt>
                <c:pt idx="7">
                  <c:v>0.72142857142857142</c:v>
                </c:pt>
                <c:pt idx="8">
                  <c:v>0.7583333333333333</c:v>
                </c:pt>
                <c:pt idx="9">
                  <c:v>2.2222222222222227E-2</c:v>
                </c:pt>
                <c:pt idx="10">
                  <c:v>0.3833333333333333</c:v>
                </c:pt>
                <c:pt idx="11">
                  <c:v>0.19999999999999998</c:v>
                </c:pt>
                <c:pt idx="12">
                  <c:v>0.3666666666666667</c:v>
                </c:pt>
                <c:pt idx="13">
                  <c:v>0.51333333333333342</c:v>
                </c:pt>
              </c:numCache>
            </c:numRef>
          </c:val>
          <c:extLst>
            <c:ext xmlns:c16="http://schemas.microsoft.com/office/drawing/2014/chart" uri="{C3380CC4-5D6E-409C-BE32-E72D297353CC}">
              <c16:uniqueId val="{00000000-8257-4EAE-BE63-A03C9B74AD0D}"/>
            </c:ext>
          </c:extLst>
        </c:ser>
        <c:ser>
          <c:idx val="1"/>
          <c:order val="1"/>
          <c:tx>
            <c:strRef>
              <c:f>'Reporte AnexoA'!$D$45</c:f>
              <c:strCache>
                <c:ptCount val="1"/>
                <c:pt idx="0">
                  <c:v>Nivel Deseado</c:v>
                </c:pt>
              </c:strCache>
            </c:strRef>
          </c:tx>
          <c:spPr>
            <a:ln w="28575" cap="rnd">
              <a:solidFill>
                <a:schemeClr val="accent2"/>
              </a:solidFill>
              <a:round/>
            </a:ln>
            <a:effectLst/>
          </c:spPr>
          <c:marker>
            <c:symbol val="none"/>
          </c:marker>
          <c:cat>
            <c:strRef>
              <c:f>'Reporte AnexoA'!$B$46:$B$59</c:f>
              <c:strCache>
                <c:ptCount val="14"/>
                <c:pt idx="0">
                  <c:v>POLÍTICAS DE SEGURIDAD DE LA INFORMACIÓN</c:v>
                </c:pt>
                <c:pt idx="1">
                  <c:v>ORGANIZACIÓN DE LA SEGURIDAD DE LA INFORMACIÓN</c:v>
                </c:pt>
                <c:pt idx="2">
                  <c:v>SEGURIDAD DE LOS RECURSOS HUMANOS</c:v>
                </c:pt>
                <c:pt idx="3">
                  <c:v>GESTIÓN DE ACTIVOS</c:v>
                </c:pt>
                <c:pt idx="4">
                  <c:v>CONTROL DE ACCESO</c:v>
                </c:pt>
                <c:pt idx="5">
                  <c:v>CRIPTOGRAFÍA</c:v>
                </c:pt>
                <c:pt idx="6">
                  <c:v>SEGURIDAD FÍSICA Y DEL ENTORNO</c:v>
                </c:pt>
                <c:pt idx="7">
                  <c:v>SEGURIDAD DE LAS OPERACIONES</c:v>
                </c:pt>
                <c:pt idx="8">
                  <c:v>SEGURIDAD DE LAS COMUNICACIONES</c:v>
                </c:pt>
                <c:pt idx="9">
                  <c:v>ADQUISICIÓN, DESARROLLO Y MANTENIEMIENTO DE SISTEMAS</c:v>
                </c:pt>
                <c:pt idx="10">
                  <c:v>RELACIONES CON LOS PROVEEDORES</c:v>
                </c:pt>
                <c:pt idx="11">
                  <c:v>GESTIÓN DE INCIDENTES DE SEGURIDAD DE LA INFORMACIÓN</c:v>
                </c:pt>
                <c:pt idx="12">
                  <c:v>ASPECTOS DE SEGURIDAD DE LA INFORMACIÓN DE LA GESTIÓN DE CONTINUIDAD DE NEGOCIO</c:v>
                </c:pt>
                <c:pt idx="13">
                  <c:v>CUMPLIMIENTO</c:v>
                </c:pt>
              </c:strCache>
            </c:strRef>
          </c:cat>
          <c:val>
            <c:numRef>
              <c:f>'Reporte AnexoA'!$D$46:$D$59</c:f>
              <c:numCache>
                <c:formatCode>0%</c:formatCode>
                <c:ptCount val="14"/>
                <c:pt idx="0">
                  <c:v>1</c:v>
                </c:pt>
                <c:pt idx="1">
                  <c:v>1</c:v>
                </c:pt>
                <c:pt idx="2">
                  <c:v>1</c:v>
                </c:pt>
                <c:pt idx="3">
                  <c:v>1</c:v>
                </c:pt>
                <c:pt idx="4">
                  <c:v>1</c:v>
                </c:pt>
                <c:pt idx="5">
                  <c:v>1</c:v>
                </c:pt>
                <c:pt idx="6">
                  <c:v>1</c:v>
                </c:pt>
                <c:pt idx="7">
                  <c:v>1</c:v>
                </c:pt>
                <c:pt idx="8">
                  <c:v>1</c:v>
                </c:pt>
                <c:pt idx="9">
                  <c:v>1</c:v>
                </c:pt>
                <c:pt idx="10">
                  <c:v>1</c:v>
                </c:pt>
                <c:pt idx="11">
                  <c:v>1</c:v>
                </c:pt>
                <c:pt idx="12">
                  <c:v>1</c:v>
                </c:pt>
                <c:pt idx="13">
                  <c:v>1</c:v>
                </c:pt>
              </c:numCache>
            </c:numRef>
          </c:val>
          <c:extLst>
            <c:ext xmlns:c16="http://schemas.microsoft.com/office/drawing/2014/chart" uri="{C3380CC4-5D6E-409C-BE32-E72D297353CC}">
              <c16:uniqueId val="{00000001-8257-4EAE-BE63-A03C9B74AD0D}"/>
            </c:ext>
          </c:extLst>
        </c:ser>
        <c:dLbls>
          <c:showLegendKey val="0"/>
          <c:showVal val="0"/>
          <c:showCatName val="0"/>
          <c:showSerName val="0"/>
          <c:showPercent val="0"/>
          <c:showBubbleSize val="0"/>
        </c:dLbls>
        <c:axId val="299328376"/>
        <c:axId val="299319752"/>
      </c:radarChart>
      <c:catAx>
        <c:axId val="299328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9319752"/>
        <c:crosses val="autoZero"/>
        <c:auto val="1"/>
        <c:lblAlgn val="ctr"/>
        <c:lblOffset val="100"/>
        <c:noMultiLvlLbl val="0"/>
      </c:catAx>
      <c:valAx>
        <c:axId val="299319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9328376"/>
        <c:crosses val="autoZero"/>
        <c:crossBetween val="between"/>
      </c:valAx>
      <c:spPr>
        <a:noFill/>
        <a:ln>
          <a:noFill/>
        </a:ln>
        <a:effectLst/>
      </c:spPr>
    </c:plotArea>
    <c:legend>
      <c:legendPos val="t"/>
      <c:layout>
        <c:manualLayout>
          <c:xMode val="edge"/>
          <c:yMode val="edge"/>
          <c:x val="2.966516799495398E-2"/>
          <c:y val="0.86802571389505179"/>
          <c:w val="0.1754979155669936"/>
          <c:h val="7.45775657922389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s-CO"/>
              <a:t>cUMPLIMIENTO</a:t>
            </a:r>
            <a:r>
              <a:rPr lang="es-CO" baseline="0"/>
              <a:t> DE REQUISIROS sgsi</a:t>
            </a:r>
            <a:endParaRPr lang="es-CO"/>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'ANEXO A'!$C$3:$C$4</c:f>
              <c:strCache>
                <c:ptCount val="2"/>
                <c:pt idx="0">
                  <c:v>Nivel de Madurez</c:v>
                </c:pt>
                <c:pt idx="1">
                  <c:v>Nivel Actual</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cat>
            <c:strRef>
              <c:f>'ANEXO A'!$B$5:$B$18</c:f>
              <c:strCache>
                <c:ptCount val="14"/>
                <c:pt idx="0">
                  <c:v>POLÍTICAS DE SEGURIDAD DE LA INFORMACIÓN</c:v>
                </c:pt>
                <c:pt idx="1">
                  <c:v>ORGANIZACIÓN DE LA SEGURIDAD DE LA INFORMACIÓN</c:v>
                </c:pt>
                <c:pt idx="2">
                  <c:v>SEGURIDAD DE LOS RECURSOS HUMANOS</c:v>
                </c:pt>
                <c:pt idx="3">
                  <c:v>GESTIÓN DE ACTIVOS</c:v>
                </c:pt>
                <c:pt idx="4">
                  <c:v>CONTROL DE ACCESO</c:v>
                </c:pt>
                <c:pt idx="5">
                  <c:v>CRIPTOGRAFÍA</c:v>
                </c:pt>
                <c:pt idx="6">
                  <c:v>SEGURIDAD FÍSICA Y DEL ENTORNO</c:v>
                </c:pt>
                <c:pt idx="7">
                  <c:v>SEGURIDAD DE LAS OPERACIONES</c:v>
                </c:pt>
                <c:pt idx="8">
                  <c:v>SEGURIDAD DE LAS COMUNICACIONES</c:v>
                </c:pt>
                <c:pt idx="9">
                  <c:v>ADQUISICIÓN, DESARROLLO Y MANTENIEMIENTO DE SISTEMAS</c:v>
                </c:pt>
                <c:pt idx="10">
                  <c:v>RELACIONES CON LOS PROVEEDORES</c:v>
                </c:pt>
                <c:pt idx="11">
                  <c:v>GESTIÓN DE INCIDENTES DE SEGURIDAD DE LA INFORMACIÓN</c:v>
                </c:pt>
                <c:pt idx="12">
                  <c:v>ASPECTOS DE SEGURIDAD DE LA INFORMACIÓN DE LA GESTIÓN DE CONTINUIDAD DE NEGOCIO</c:v>
                </c:pt>
                <c:pt idx="13">
                  <c:v>CUMPLIMIENTO</c:v>
                </c:pt>
              </c:strCache>
            </c:strRef>
          </c:cat>
          <c:val>
            <c:numRef>
              <c:f>'ANEXO A'!$C$5:$C$18</c:f>
              <c:numCache>
                <c:formatCode>0%</c:formatCode>
                <c:ptCount val="14"/>
                <c:pt idx="0">
                  <c:v>1</c:v>
                </c:pt>
                <c:pt idx="1">
                  <c:v>0.65</c:v>
                </c:pt>
                <c:pt idx="2">
                  <c:v>0.67</c:v>
                </c:pt>
                <c:pt idx="3">
                  <c:v>0.37</c:v>
                </c:pt>
                <c:pt idx="4">
                  <c:v>0.6</c:v>
                </c:pt>
                <c:pt idx="5">
                  <c:v>0.2</c:v>
                </c:pt>
                <c:pt idx="6">
                  <c:v>0.8</c:v>
                </c:pt>
                <c:pt idx="7">
                  <c:v>0.79</c:v>
                </c:pt>
                <c:pt idx="8">
                  <c:v>0.85</c:v>
                </c:pt>
                <c:pt idx="9">
                  <c:v>0.87</c:v>
                </c:pt>
                <c:pt idx="10">
                  <c:v>0.8</c:v>
                </c:pt>
                <c:pt idx="11">
                  <c:v>0.4</c:v>
                </c:pt>
                <c:pt idx="12">
                  <c:v>0.7</c:v>
                </c:pt>
                <c:pt idx="13">
                  <c:v>0.73</c:v>
                </c:pt>
              </c:numCache>
            </c:numRef>
          </c:val>
          <c:extLst>
            <c:ext xmlns:c16="http://schemas.microsoft.com/office/drawing/2014/chart" uri="{C3380CC4-5D6E-409C-BE32-E72D297353CC}">
              <c16:uniqueId val="{00000000-21E5-464A-BFA0-E28E804233C3}"/>
            </c:ext>
          </c:extLst>
        </c:ser>
        <c:ser>
          <c:idx val="1"/>
          <c:order val="1"/>
          <c:tx>
            <c:strRef>
              <c:f>'ANEXO A'!$D$3:$D$4</c:f>
              <c:strCache>
                <c:ptCount val="2"/>
                <c:pt idx="0">
                  <c:v>Nivel de Madurez</c:v>
                </c:pt>
                <c:pt idx="1">
                  <c:v>Nivel Deseado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10800000" scaled="1"/>
              <a:tileRect/>
            </a:gradFill>
            <a:ln>
              <a:noFill/>
            </a:ln>
            <a:effectLst/>
          </c:spPr>
          <c:invertIfNegative val="0"/>
          <c:cat>
            <c:strRef>
              <c:f>'ANEXO A'!$B$5:$B$18</c:f>
              <c:strCache>
                <c:ptCount val="14"/>
                <c:pt idx="0">
                  <c:v>POLÍTICAS DE SEGURIDAD DE LA INFORMACIÓN</c:v>
                </c:pt>
                <c:pt idx="1">
                  <c:v>ORGANIZACIÓN DE LA SEGURIDAD DE LA INFORMACIÓN</c:v>
                </c:pt>
                <c:pt idx="2">
                  <c:v>SEGURIDAD DE LOS RECURSOS HUMANOS</c:v>
                </c:pt>
                <c:pt idx="3">
                  <c:v>GESTIÓN DE ACTIVOS</c:v>
                </c:pt>
                <c:pt idx="4">
                  <c:v>CONTROL DE ACCESO</c:v>
                </c:pt>
                <c:pt idx="5">
                  <c:v>CRIPTOGRAFÍA</c:v>
                </c:pt>
                <c:pt idx="6">
                  <c:v>SEGURIDAD FÍSICA Y DEL ENTORNO</c:v>
                </c:pt>
                <c:pt idx="7">
                  <c:v>SEGURIDAD DE LAS OPERACIONES</c:v>
                </c:pt>
                <c:pt idx="8">
                  <c:v>SEGURIDAD DE LAS COMUNICACIONES</c:v>
                </c:pt>
                <c:pt idx="9">
                  <c:v>ADQUISICIÓN, DESARROLLO Y MANTENIEMIENTO DE SISTEMAS</c:v>
                </c:pt>
                <c:pt idx="10">
                  <c:v>RELACIONES CON LOS PROVEEDORES</c:v>
                </c:pt>
                <c:pt idx="11">
                  <c:v>GESTIÓN DE INCIDENTES DE SEGURIDAD DE LA INFORMACIÓN</c:v>
                </c:pt>
                <c:pt idx="12">
                  <c:v>ASPECTOS DE SEGURIDAD DE LA INFORMACIÓN DE LA GESTIÓN DE CONTINUIDAD DE NEGOCIO</c:v>
                </c:pt>
                <c:pt idx="13">
                  <c:v>CUMPLIMIENTO</c:v>
                </c:pt>
              </c:strCache>
            </c:strRef>
          </c:cat>
          <c:val>
            <c:numRef>
              <c:f>'ANEXO A'!$D$5:$D$18</c:f>
              <c:numCache>
                <c:formatCode>0%</c:formatCode>
                <c:ptCount val="14"/>
                <c:pt idx="0">
                  <c:v>1</c:v>
                </c:pt>
                <c:pt idx="1">
                  <c:v>1</c:v>
                </c:pt>
                <c:pt idx="2">
                  <c:v>1</c:v>
                </c:pt>
                <c:pt idx="3">
                  <c:v>1</c:v>
                </c:pt>
                <c:pt idx="4">
                  <c:v>1</c:v>
                </c:pt>
                <c:pt idx="5">
                  <c:v>1</c:v>
                </c:pt>
                <c:pt idx="6">
                  <c:v>1</c:v>
                </c:pt>
                <c:pt idx="7">
                  <c:v>1</c:v>
                </c:pt>
                <c:pt idx="8">
                  <c:v>1</c:v>
                </c:pt>
                <c:pt idx="9">
                  <c:v>1</c:v>
                </c:pt>
                <c:pt idx="10">
                  <c:v>1</c:v>
                </c:pt>
                <c:pt idx="11">
                  <c:v>1</c:v>
                </c:pt>
                <c:pt idx="12">
                  <c:v>1</c:v>
                </c:pt>
                <c:pt idx="13">
                  <c:v>1</c:v>
                </c:pt>
              </c:numCache>
            </c:numRef>
          </c:val>
          <c:extLst>
            <c:ext xmlns:c16="http://schemas.microsoft.com/office/drawing/2014/chart" uri="{C3380CC4-5D6E-409C-BE32-E72D297353CC}">
              <c16:uniqueId val="{00000001-21E5-464A-BFA0-E28E804233C3}"/>
            </c:ext>
          </c:extLst>
        </c:ser>
        <c:dLbls>
          <c:showLegendKey val="0"/>
          <c:showVal val="0"/>
          <c:showCatName val="0"/>
          <c:showSerName val="0"/>
          <c:showPercent val="0"/>
          <c:showBubbleSize val="0"/>
        </c:dLbls>
        <c:gapWidth val="326"/>
        <c:overlap val="-58"/>
        <c:axId val="554227423"/>
        <c:axId val="668815087"/>
      </c:barChart>
      <c:catAx>
        <c:axId val="554227423"/>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68815087"/>
        <c:crosses val="autoZero"/>
        <c:auto val="1"/>
        <c:lblAlgn val="ctr"/>
        <c:lblOffset val="100"/>
        <c:noMultiLvlLbl val="0"/>
      </c:catAx>
      <c:valAx>
        <c:axId val="668815087"/>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422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74F8CCA53349B44818351C786E806F9" ma:contentTypeVersion="1" ma:contentTypeDescription="Crear nuevo documento." ma:contentTypeScope="" ma:versionID="ea4a8c39c401d255c5aa758ca17f64f0">
  <xsd:schema xmlns:xsd="http://www.w3.org/2001/XMLSchema" xmlns:xs="http://www.w3.org/2001/XMLSchema" xmlns:p="http://schemas.microsoft.com/office/2006/metadata/properties" xmlns:ns2="ca66dafb-d1e7-428b-88f2-ca24096040ad" targetNamespace="http://schemas.microsoft.com/office/2006/metadata/properties" ma:root="true" ma:fieldsID="a6d57ed4ac6b8934f24b575fcada150f" ns2:_="">
    <xsd:import namespace="ca66dafb-d1e7-428b-88f2-ca24096040ad"/>
    <xsd:element name="properties">
      <xsd:complexType>
        <xsd:sequence>
          <xsd:element name="documentManagement">
            <xsd:complexType>
              <xsd:all>
                <xsd:element ref="ns2:pregun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66dafb-d1e7-428b-88f2-ca24096040ad" elementFormDefault="qualified">
    <xsd:import namespace="http://schemas.microsoft.com/office/2006/documentManagement/types"/>
    <xsd:import namespace="http://schemas.microsoft.com/office/infopath/2007/PartnerControls"/>
    <xsd:element name="pregunta" ma:index="8" nillable="true" ma:displayName="Pregunta" ma:internalName="pregunt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gunta xmlns="ca66dafb-d1e7-428b-88f2-ca24096040ad">93</pregunta>
  </documentManagement>
</p:properties>
</file>

<file path=customXml/itemProps1.xml><?xml version="1.0" encoding="utf-8"?>
<ds:datastoreItem xmlns:ds="http://schemas.openxmlformats.org/officeDocument/2006/customXml" ds:itemID="{940633BF-1ADD-4A91-8B94-E0B01D9F60BF}"/>
</file>

<file path=customXml/itemProps2.xml><?xml version="1.0" encoding="utf-8"?>
<ds:datastoreItem xmlns:ds="http://schemas.openxmlformats.org/officeDocument/2006/customXml" ds:itemID="{C24544FF-363D-4AEC-9D7C-77979BC3F11D}"/>
</file>

<file path=customXml/itemProps3.xml><?xml version="1.0" encoding="utf-8"?>
<ds:datastoreItem xmlns:ds="http://schemas.openxmlformats.org/officeDocument/2006/customXml" ds:itemID="{EEDFC3B3-8D02-4953-9FE4-77DE7C59488D}"/>
</file>

<file path=docProps/app.xml><?xml version="1.0" encoding="utf-8"?>
<Properties xmlns="http://schemas.openxmlformats.org/officeDocument/2006/extended-properties" xmlns:vt="http://schemas.openxmlformats.org/officeDocument/2006/docPropsVTypes">
  <Template>Normal</Template>
  <TotalTime>2</TotalTime>
  <Pages>77</Pages>
  <Words>28745</Words>
  <Characters>158099</Characters>
  <Application>Microsoft Office Word</Application>
  <DocSecurity>0</DocSecurity>
  <Lines>1317</Lines>
  <Paragraphs>372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Elsa Marlen Baracaldo Huertas</dc:creator>
  <cp:lastModifiedBy>Elsa Marlen Baracaldo Huertas</cp:lastModifiedBy>
  <cp:revision>2</cp:revision>
  <cp:lastPrinted>2020-02-27T20:44:00Z</cp:lastPrinted>
  <dcterms:created xsi:type="dcterms:W3CDTF">2021-03-25T15:55:00Z</dcterms:created>
  <dcterms:modified xsi:type="dcterms:W3CDTF">2021-03-25T15:55:00Z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2019-11-15T00:00:00Z</vt:filetime>
  </property>
  <property fmtid="{D5CDD505-2E9C-101B-9397-08002B2CF9AE}" pid="3" name="Creator">
    <vt:lpwstr>Microsoft® Word for Office 365</vt:lpwstr>
  </property>
  <property fmtid="{D5CDD505-2E9C-101B-9397-08002B2CF9AE}" pid="4" name="LastSaved">
    <vt:filetime>2020-01-30T00:00:00Z</vt:filetime>
  </property>
  <property fmtid="{D5CDD505-2E9C-101B-9397-08002B2CF9AE}" pid="5" name="ContentTypeId">
    <vt:lpwstr>0x010100A74F8CCA53349B44818351C786E806F9</vt:lpwstr>
  </property>
</Properties>
</file>